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eastAsia" w:eastAsia="宋体"/>
          <w:b/>
          <w:lang w:val="en-US" w:eastAsia="zh-CN"/>
        </w:rPr>
      </w:pPr>
      <w:bookmarkStart w:id="0" w:name="DocumentFor"/>
      <w:bookmarkEnd w:id="0"/>
      <w:bookmarkStart w:id="1" w:name="Title"/>
      <w:bookmarkEnd w:id="1"/>
      <w:r>
        <w:rPr>
          <w:b/>
        </w:rPr>
        <w:t>3GPP TSG RAN WG2</w:t>
      </w:r>
      <w:r>
        <w:rPr>
          <w:rFonts w:hint="eastAsia" w:eastAsia="宋体"/>
          <w:b/>
          <w:lang w:val="en-US" w:eastAsia="zh-CN"/>
        </w:rPr>
        <w:t xml:space="preserve"> Meeting </w:t>
      </w:r>
      <w:r>
        <w:rPr>
          <w:b/>
        </w:rPr>
        <w:t>#1</w:t>
      </w:r>
      <w:r>
        <w:rPr>
          <w:rFonts w:hint="eastAsia" w:eastAsia="宋体"/>
          <w:b/>
          <w:lang w:val="en-US" w:eastAsia="zh-CN"/>
        </w:rPr>
        <w:t>27</w:t>
      </w:r>
      <w:r>
        <w:rPr>
          <w:b/>
        </w:rPr>
        <w:tab/>
      </w:r>
      <w:r>
        <w:rPr>
          <w:rFonts w:hint="eastAsia"/>
          <w:b/>
        </w:rPr>
        <w:t>R2-2406973</w:t>
      </w:r>
      <w:bookmarkStart w:id="4" w:name="_GoBack"/>
      <w:bookmarkEnd w:id="4"/>
    </w:p>
    <w:p>
      <w:pPr>
        <w:pStyle w:val="56"/>
        <w:jc w:val="left"/>
        <w:rPr>
          <w:rFonts w:hint="eastAsia" w:cs="Arial"/>
          <w:sz w:val="20"/>
        </w:rPr>
      </w:pPr>
      <w:r>
        <w:rPr>
          <w:rFonts w:hint="eastAsia" w:cs="Arial"/>
          <w:sz w:val="20"/>
        </w:rPr>
        <w:t>Maastricht, Netherlands, Aug 19</w:t>
      </w:r>
      <w:r>
        <w:rPr>
          <w:rFonts w:hint="eastAsia" w:cs="Arial"/>
          <w:sz w:val="20"/>
          <w:vertAlign w:val="superscript"/>
        </w:rPr>
        <w:t>th</w:t>
      </w:r>
      <w:r>
        <w:rPr>
          <w:rFonts w:hint="eastAsia" w:cs="Arial"/>
          <w:sz w:val="20"/>
        </w:rPr>
        <w:t xml:space="preserve"> – 23</w:t>
      </w:r>
      <w:r>
        <w:rPr>
          <w:rFonts w:hint="eastAsia" w:cs="Arial"/>
          <w:sz w:val="20"/>
          <w:vertAlign w:val="superscript"/>
        </w:rPr>
        <w:t>rd</w:t>
      </w:r>
      <w:r>
        <w:rPr>
          <w:rFonts w:hint="eastAsia" w:cs="Arial"/>
          <w:sz w:val="20"/>
        </w:rPr>
        <w:t>, 2024</w:t>
      </w:r>
    </w:p>
    <w:p>
      <w:pPr>
        <w:pStyle w:val="56"/>
        <w:jc w:val="left"/>
        <w:rPr>
          <w:rFonts w:hint="default" w:eastAsia="宋体" w:cs="Arial"/>
          <w:sz w:val="20"/>
          <w:lang w:val="en-US" w:eastAsia="zh-CN"/>
        </w:rPr>
      </w:pPr>
      <w:r>
        <w:rPr>
          <w:rFonts w:cs="Arial"/>
          <w:sz w:val="20"/>
        </w:rPr>
        <w:t>Agenda Item:</w:t>
      </w:r>
      <w:r>
        <w:rPr>
          <w:rFonts w:cs="Arial"/>
          <w:sz w:val="20"/>
        </w:rPr>
        <w:tab/>
      </w:r>
      <w:r>
        <w:rPr>
          <w:rFonts w:hint="eastAsia" w:eastAsia="宋体" w:cs="Arial"/>
          <w:sz w:val="20"/>
          <w:lang w:val="en-US" w:eastAsia="zh-CN"/>
        </w:rPr>
        <w:t>8.8.6</w:t>
      </w:r>
    </w:p>
    <w:p>
      <w:pPr>
        <w:pStyle w:val="56"/>
        <w:jc w:val="left"/>
        <w:rPr>
          <w:rFonts w:cs="Arial"/>
          <w:sz w:val="20"/>
        </w:rPr>
      </w:pPr>
      <w:r>
        <w:rPr>
          <w:rFonts w:cs="Arial"/>
          <w:sz w:val="20"/>
        </w:rPr>
        <w:t>Source:</w:t>
      </w:r>
      <w:r>
        <w:rPr>
          <w:rFonts w:cs="Arial"/>
          <w:sz w:val="20"/>
        </w:rPr>
        <w:tab/>
      </w:r>
      <w:r>
        <w:rPr>
          <w:rFonts w:eastAsia="宋体" w:cs="Arial"/>
          <w:sz w:val="20"/>
        </w:rPr>
        <w:t>CMCC</w:t>
      </w:r>
      <w:r>
        <w:rPr>
          <w:rFonts w:eastAsia="宋体" w:cs="Arial"/>
          <w:sz w:val="20"/>
        </w:rPr>
        <w:tab/>
      </w:r>
    </w:p>
    <w:p>
      <w:pPr>
        <w:pStyle w:val="56"/>
        <w:jc w:val="left"/>
        <w:rPr>
          <w:rFonts w:hint="default" w:cs="Arial" w:eastAsiaTheme="minorEastAsia"/>
          <w:sz w:val="20"/>
          <w:lang w:val="en-US" w:eastAsia="zh-CN"/>
        </w:rPr>
      </w:pPr>
      <w:r>
        <w:rPr>
          <w:rFonts w:cs="Arial"/>
          <w:sz w:val="20"/>
        </w:rPr>
        <w:t>Title:</w:t>
      </w:r>
      <w:r>
        <w:rPr>
          <w:rFonts w:cs="Arial"/>
          <w:sz w:val="20"/>
        </w:rPr>
        <w:tab/>
      </w:r>
      <w:r>
        <w:rPr>
          <w:rFonts w:hint="eastAsia" w:cs="Arial" w:eastAsiaTheme="minorEastAsia"/>
          <w:sz w:val="20"/>
          <w:lang w:val="en-US" w:eastAsia="zh-CN"/>
        </w:rPr>
        <w:t>Considerations on LTE to NR mobility</w:t>
      </w:r>
    </w:p>
    <w:p>
      <w:pPr>
        <w:pStyle w:val="56"/>
        <w:jc w:val="left"/>
        <w:rPr>
          <w:rFonts w:hint="eastAsia" w:eastAsia="宋体" w:cs="Arial"/>
          <w:sz w:val="20"/>
          <w:lang w:val="en-US" w:eastAsia="zh-CN"/>
        </w:rPr>
      </w:pPr>
      <w:r>
        <w:rPr>
          <w:rFonts w:cs="Arial"/>
          <w:sz w:val="20"/>
        </w:rPr>
        <w:t>Document for:</w:t>
      </w:r>
      <w:r>
        <w:rPr>
          <w:rFonts w:cs="Arial"/>
          <w:sz w:val="20"/>
        </w:rPr>
        <w:tab/>
      </w:r>
      <w:r>
        <w:rPr>
          <w:rFonts w:cs="Arial"/>
          <w:sz w:val="20"/>
        </w:rPr>
        <w:t>Discussion, Discussion</w:t>
      </w:r>
    </w:p>
    <w:p>
      <w:pPr>
        <w:pStyle w:val="2"/>
        <w:rPr>
          <w:rFonts w:cs="Arial"/>
          <w:sz w:val="32"/>
          <w:szCs w:val="32"/>
        </w:rPr>
      </w:pPr>
      <w:r>
        <w:rPr>
          <w:rFonts w:cs="Arial"/>
          <w:sz w:val="32"/>
          <w:szCs w:val="32"/>
        </w:rPr>
        <w:t>Introduction</w:t>
      </w:r>
    </w:p>
    <w:p>
      <w:pPr>
        <w:pStyle w:val="109"/>
        <w:widowControl w:val="0"/>
        <w:numPr>
          <w:ilvl w:val="0"/>
          <w:numId w:val="0"/>
        </w:numPr>
        <w:spacing w:after="0"/>
        <w:jc w:val="both"/>
      </w:pPr>
      <w:r>
        <w:rPr>
          <w:rFonts w:hint="default" w:ascii="Arial" w:hAnsi="Arial" w:eastAsia="仿宋" w:cs="Arial"/>
          <w:sz w:val="20"/>
          <w:szCs w:val="20"/>
          <w:lang w:val="en-US" w:eastAsia="zh-CN"/>
        </w:rPr>
        <w:t>Ther</w:t>
      </w:r>
      <w:r>
        <w:rPr>
          <w:rFonts w:hint="eastAsia" w:ascii="Arial" w:hAnsi="Arial" w:eastAsia="仿宋" w:cs="Arial"/>
          <w:sz w:val="20"/>
          <w:szCs w:val="20"/>
          <w:lang w:val="en-US" w:eastAsia="zh-CN"/>
        </w:rPr>
        <w:t>e were some discussions on LTE to NR NTN mobility in last RAN2 meeting, and agreements were reached as following [1]:</w:t>
      </w:r>
    </w:p>
    <w:p>
      <w:pPr>
        <w:pStyle w:val="6"/>
        <w:pBdr>
          <w:top w:val="single" w:color="auto" w:sz="4" w:space="1"/>
          <w:left w:val="single" w:color="auto" w:sz="4" w:space="4"/>
          <w:bottom w:val="single" w:color="auto" w:sz="4" w:space="1"/>
          <w:right w:val="single" w:color="auto" w:sz="4" w:space="4"/>
        </w:pBdr>
      </w:pPr>
      <w:r>
        <w:t>Agreements:</w:t>
      </w:r>
    </w:p>
    <w:p>
      <w:pPr>
        <w:pStyle w:val="6"/>
        <w:numPr>
          <w:ilvl w:val="0"/>
          <w:numId w:val="11"/>
        </w:numPr>
        <w:pBdr>
          <w:top w:val="single" w:color="auto" w:sz="4" w:space="1"/>
          <w:left w:val="single" w:color="auto" w:sz="4" w:space="4"/>
          <w:bottom w:val="single" w:color="auto" w:sz="4" w:space="1"/>
          <w:right w:val="single" w:color="auto" w:sz="4" w:space="4"/>
        </w:pBdr>
      </w:pPr>
      <w:r>
        <w:t>For idle mode mobility from EUTRA TN to NR NTN, NB-IoT UEs are considered not in the scope.</w:t>
      </w:r>
    </w:p>
    <w:p>
      <w:pPr>
        <w:pStyle w:val="6"/>
        <w:numPr>
          <w:ilvl w:val="0"/>
          <w:numId w:val="11"/>
        </w:numPr>
        <w:pBdr>
          <w:top w:val="single" w:color="auto" w:sz="4" w:space="1"/>
          <w:left w:val="single" w:color="auto" w:sz="4" w:space="4"/>
          <w:bottom w:val="single" w:color="auto" w:sz="4" w:space="1"/>
          <w:right w:val="single" w:color="auto" w:sz="4" w:space="4"/>
        </w:pBdr>
      </w:pPr>
      <w:r>
        <w:t>For idle mode mobility from EUTRA TN to NR NTN, we don’t consider specific optimizations for BL UEs and UEs in CE.</w:t>
      </w:r>
    </w:p>
    <w:p>
      <w:pPr>
        <w:pStyle w:val="6"/>
        <w:numPr>
          <w:ilvl w:val="0"/>
          <w:numId w:val="11"/>
        </w:numPr>
        <w:pBdr>
          <w:top w:val="single" w:color="auto" w:sz="4" w:space="1"/>
          <w:left w:val="single" w:color="auto" w:sz="4" w:space="4"/>
          <w:bottom w:val="single" w:color="auto" w:sz="4" w:space="1"/>
          <w:right w:val="single" w:color="auto" w:sz="4" w:space="4"/>
        </w:pBdr>
      </w:pPr>
      <w:r>
        <w:t xml:space="preserve">SIB24 is reused to provide the NR NTN cell reselection related information (e.g. frequency information, SMTC config, etc.), introducing a satellite ID list in per frequency. The EUTRA cell provides the satellite assistance information for NR neighbor cell per satellite, as identified by the satellite ID. </w:t>
      </w:r>
    </w:p>
    <w:p>
      <w:pPr>
        <w:pStyle w:val="6"/>
        <w:pBdr>
          <w:top w:val="single" w:color="auto" w:sz="4" w:space="1"/>
          <w:left w:val="single" w:color="auto" w:sz="4" w:space="4"/>
          <w:bottom w:val="single" w:color="auto" w:sz="4" w:space="1"/>
          <w:right w:val="single" w:color="auto" w:sz="4" w:space="4"/>
        </w:pBdr>
      </w:pPr>
      <w:r>
        <w:t>4.</w:t>
      </w:r>
      <w:r>
        <w:tab/>
      </w:r>
      <w:r>
        <w:t>To support the idle mode mobility from EUTRA TN to NR NTN, the satellite assistance information for NR NTN neighbor cells is needed and should include the following parameters:</w:t>
      </w:r>
    </w:p>
    <w:p>
      <w:pPr>
        <w:pStyle w:val="6"/>
        <w:pBdr>
          <w:top w:val="single" w:color="auto" w:sz="4" w:space="1"/>
          <w:left w:val="single" w:color="auto" w:sz="4" w:space="4"/>
          <w:bottom w:val="single" w:color="auto" w:sz="4" w:space="1"/>
          <w:right w:val="single" w:color="auto" w:sz="4" w:space="4"/>
        </w:pBdr>
      </w:pPr>
      <w:r>
        <w:tab/>
      </w:r>
      <w:r>
        <w:t>-</w:t>
      </w:r>
      <w:r>
        <w:tab/>
      </w:r>
      <w:r>
        <w:t>Satellite ephemeris information</w:t>
      </w:r>
    </w:p>
    <w:p>
      <w:pPr>
        <w:pStyle w:val="6"/>
        <w:pBdr>
          <w:top w:val="single" w:color="auto" w:sz="4" w:space="1"/>
          <w:left w:val="single" w:color="auto" w:sz="4" w:space="4"/>
          <w:bottom w:val="single" w:color="auto" w:sz="4" w:space="1"/>
          <w:right w:val="single" w:color="auto" w:sz="4" w:space="4"/>
        </w:pBdr>
      </w:pPr>
      <w:r>
        <w:tab/>
      </w:r>
      <w:r>
        <w:t>-</w:t>
      </w:r>
      <w:r>
        <w:tab/>
      </w:r>
      <w:r>
        <w:t>TA common information</w:t>
      </w:r>
    </w:p>
    <w:p>
      <w:pPr>
        <w:pStyle w:val="6"/>
        <w:pBdr>
          <w:top w:val="single" w:color="auto" w:sz="4" w:space="1"/>
          <w:left w:val="single" w:color="auto" w:sz="4" w:space="4"/>
          <w:bottom w:val="single" w:color="auto" w:sz="4" w:space="1"/>
          <w:right w:val="single" w:color="auto" w:sz="4" w:space="4"/>
        </w:pBdr>
      </w:pPr>
      <w:r>
        <w:tab/>
      </w:r>
      <w:r>
        <w:t>-</w:t>
      </w:r>
      <w:r>
        <w:tab/>
      </w:r>
      <w:r>
        <w:t>k-Mac</w:t>
      </w:r>
    </w:p>
    <w:p>
      <w:pPr>
        <w:pStyle w:val="6"/>
        <w:pBdr>
          <w:top w:val="single" w:color="auto" w:sz="4" w:space="1"/>
          <w:left w:val="single" w:color="auto" w:sz="4" w:space="4"/>
          <w:bottom w:val="single" w:color="auto" w:sz="4" w:space="1"/>
          <w:right w:val="single" w:color="auto" w:sz="4" w:space="4"/>
        </w:pBdr>
      </w:pPr>
      <w:r>
        <w:tab/>
      </w:r>
      <w:r>
        <w:t>-</w:t>
      </w:r>
      <w:r>
        <w:tab/>
      </w:r>
      <w:r>
        <w:t>epoch time</w:t>
      </w:r>
    </w:p>
    <w:p>
      <w:pPr>
        <w:pStyle w:val="6"/>
        <w:pBdr>
          <w:top w:val="single" w:color="auto" w:sz="4" w:space="1"/>
          <w:left w:val="single" w:color="auto" w:sz="4" w:space="4"/>
          <w:bottom w:val="single" w:color="auto" w:sz="4" w:space="1"/>
          <w:right w:val="single" w:color="auto" w:sz="4" w:space="4"/>
        </w:pBdr>
      </w:pPr>
      <w:r>
        <w:tab/>
      </w:r>
      <w:r>
        <w:t>-</w:t>
      </w:r>
      <w:r>
        <w:tab/>
      </w:r>
      <w:r>
        <w:t>validity duration</w:t>
      </w:r>
    </w:p>
    <w:p>
      <w:pPr>
        <w:pStyle w:val="6"/>
        <w:pBdr>
          <w:top w:val="single" w:color="auto" w:sz="4" w:space="1"/>
          <w:left w:val="single" w:color="auto" w:sz="4" w:space="4"/>
          <w:bottom w:val="single" w:color="auto" w:sz="4" w:space="1"/>
          <w:right w:val="single" w:color="auto" w:sz="4" w:space="4"/>
        </w:pBdr>
      </w:pPr>
      <w:r>
        <w:tab/>
      </w:r>
      <w:r>
        <w:t>-</w:t>
      </w:r>
      <w:r>
        <w:tab/>
      </w:r>
      <w:r>
        <w:t>ntn-PolarizationDL (FFS if mandatory or optional)</w:t>
      </w:r>
    </w:p>
    <w:p>
      <w:pPr>
        <w:pStyle w:val="6"/>
        <w:pBdr>
          <w:top w:val="single" w:color="auto" w:sz="4" w:space="1"/>
          <w:left w:val="single" w:color="auto" w:sz="4" w:space="4"/>
          <w:bottom w:val="single" w:color="auto" w:sz="4" w:space="1"/>
          <w:right w:val="single" w:color="auto" w:sz="4" w:space="4"/>
        </w:pBdr>
      </w:pPr>
      <w:r>
        <w:t>5.</w:t>
      </w:r>
      <w:r>
        <w:tab/>
      </w:r>
      <w:r>
        <w:t>The Ephemeris information/epoch time/k-mac/validity duration IEs defined in SIB33 specified in TS36.331 should be reused for NR satellite assistance information.</w:t>
      </w:r>
    </w:p>
    <w:p>
      <w:pPr>
        <w:pStyle w:val="6"/>
        <w:pBdr>
          <w:top w:val="single" w:color="auto" w:sz="4" w:space="1"/>
          <w:left w:val="single" w:color="auto" w:sz="4" w:space="4"/>
          <w:bottom w:val="single" w:color="auto" w:sz="4" w:space="1"/>
          <w:right w:val="single" w:color="auto" w:sz="4" w:space="4"/>
        </w:pBdr>
      </w:pPr>
      <w:r>
        <w:t>6.</w:t>
      </w:r>
      <w:r>
        <w:tab/>
      </w:r>
      <w:r>
        <w:t>The signalling format for ntn-PolarizationDL and TA common related configurations within NTN-Config specified in TS38.331 should be introduced in TS36.331 for NR satellite assistance information.</w:t>
      </w:r>
    </w:p>
    <w:p>
      <w:pPr>
        <w:pStyle w:val="6"/>
        <w:pBdr>
          <w:top w:val="single" w:color="auto" w:sz="4" w:space="1"/>
          <w:left w:val="single" w:color="auto" w:sz="4" w:space="4"/>
          <w:bottom w:val="single" w:color="auto" w:sz="4" w:space="1"/>
          <w:right w:val="single" w:color="auto" w:sz="4" w:space="4"/>
        </w:pBdr>
      </w:pPr>
      <w:r>
        <w:t>7.</w:t>
      </w:r>
      <w:r>
        <w:tab/>
      </w:r>
      <w:r>
        <w:t>RAN2 will decide in the next meeting which of the following options to adopt for the provision of the NR satellite assistance information (based on TPs provided by the WI RRC Rapporteur):</w:t>
      </w:r>
    </w:p>
    <w:p>
      <w:pPr>
        <w:pStyle w:val="6"/>
        <w:pBdr>
          <w:top w:val="single" w:color="auto" w:sz="4" w:space="1"/>
          <w:left w:val="single" w:color="auto" w:sz="4" w:space="4"/>
          <w:bottom w:val="single" w:color="auto" w:sz="4" w:space="1"/>
          <w:right w:val="single" w:color="auto" w:sz="4" w:space="4"/>
        </w:pBdr>
      </w:pPr>
      <w:r>
        <w:tab/>
      </w:r>
      <w:r>
        <w:t>Option 1: Introduce a new SIB to include the NR satellite assistance information.</w:t>
      </w:r>
    </w:p>
    <w:p>
      <w:pPr>
        <w:pStyle w:val="6"/>
        <w:pBdr>
          <w:top w:val="single" w:color="auto" w:sz="4" w:space="1"/>
          <w:left w:val="single" w:color="auto" w:sz="4" w:space="4"/>
          <w:bottom w:val="single" w:color="auto" w:sz="4" w:space="1"/>
          <w:right w:val="single" w:color="auto" w:sz="4" w:space="4"/>
        </w:pBdr>
      </w:pPr>
      <w:r>
        <w:tab/>
      </w:r>
      <w:r>
        <w:t>Option 2: Define new IE for NR satellite assistance information and define separate neighbour satellite information list to provide the NR satellite information in SIB33.</w:t>
      </w:r>
    </w:p>
    <w:p>
      <w:pPr>
        <w:pStyle w:val="6"/>
        <w:pBdr>
          <w:top w:val="single" w:color="auto" w:sz="4" w:space="1"/>
          <w:left w:val="single" w:color="auto" w:sz="4" w:space="4"/>
          <w:bottom w:val="single" w:color="auto" w:sz="4" w:space="1"/>
          <w:right w:val="single" w:color="auto" w:sz="4" w:space="4"/>
        </w:pBdr>
      </w:pPr>
      <w:r>
        <w:tab/>
      </w:r>
      <w:r>
        <w:t>Option 3: Extend the NeighSatelliteInfo defined for IoT NTN to include the parameters needed for NR satellite, and reuse the neighSatelliteInfoList defined in SIB33 to provide either NR or IoT NTN information.</w:t>
      </w:r>
    </w:p>
    <w:p>
      <w:pPr>
        <w:pStyle w:val="6"/>
        <w:pBdr>
          <w:top w:val="single" w:color="auto" w:sz="4" w:space="1"/>
          <w:left w:val="single" w:color="auto" w:sz="4" w:space="4"/>
          <w:bottom w:val="single" w:color="auto" w:sz="4" w:space="1"/>
          <w:right w:val="single" w:color="auto" w:sz="4" w:space="4"/>
        </w:pBdr>
      </w:pPr>
      <w:r>
        <w:t>8.</w:t>
      </w:r>
      <w:r>
        <w:tab/>
      </w:r>
      <w:r>
        <w:t>Introduce the clarification in the field description of measTimingConfig (configured via SIB24 in TS 36.331) that it is configured based on the assumption that the gNB-UE propagation delay equals to 0 ms, and UE can adjust the offset based on the actual propagation delay, when the corresponding frequency is associated with a satellite ID.</w:t>
      </w:r>
    </w:p>
    <w:p>
      <w:pPr>
        <w:pStyle w:val="6"/>
        <w:pBdr>
          <w:top w:val="single" w:color="auto" w:sz="4" w:space="1"/>
          <w:left w:val="single" w:color="auto" w:sz="4" w:space="4"/>
          <w:bottom w:val="single" w:color="auto" w:sz="4" w:space="1"/>
          <w:right w:val="single" w:color="auto" w:sz="4" w:space="4"/>
        </w:pBdr>
      </w:pPr>
      <w:r>
        <w:t xml:space="preserve">Working Assumption: </w:t>
      </w:r>
    </w:p>
    <w:p>
      <w:pPr>
        <w:pStyle w:val="6"/>
        <w:numPr>
          <w:ilvl w:val="0"/>
          <w:numId w:val="12"/>
        </w:numPr>
        <w:pBdr>
          <w:top w:val="single" w:color="auto" w:sz="4" w:space="1"/>
          <w:left w:val="single" w:color="auto" w:sz="4" w:space="4"/>
          <w:bottom w:val="single" w:color="auto" w:sz="4" w:space="1"/>
          <w:right w:val="single" w:color="auto" w:sz="4" w:space="4"/>
        </w:pBdr>
      </w:pPr>
      <w:r>
        <w:t>NR NTN cell reselection evaluation is based on RRM measurements as legacy; no spec impact foreseen for EUTRA TN to NR NTN cell (can come back in the next meeting to see if the WA can be confirmed)</w:t>
      </w:r>
    </w:p>
    <w:p>
      <w:pPr>
        <w:suppressAutoHyphens/>
        <w:adjustRightInd/>
        <w:spacing w:before="120"/>
        <w:rPr>
          <w:rFonts w:hint="default" w:ascii="Arial" w:hAnsi="Arial" w:eastAsia="仿宋" w:cs="Arial"/>
        </w:rPr>
      </w:pPr>
      <w:r>
        <w:rPr>
          <w:rFonts w:hint="default" w:ascii="Arial" w:hAnsi="Arial" w:eastAsia="仿宋" w:cs="Arial"/>
        </w:rPr>
        <w:t>In this contribution, we would like to provide</w:t>
      </w:r>
      <w:r>
        <w:rPr>
          <w:rFonts w:hint="default" w:ascii="Arial" w:hAnsi="Arial" w:eastAsia="仿宋" w:cs="Arial"/>
          <w:lang w:val="en-US" w:eastAsia="zh-CN"/>
        </w:rPr>
        <w:t xml:space="preserve"> some </w:t>
      </w:r>
      <w:r>
        <w:rPr>
          <w:rFonts w:hint="eastAsia" w:ascii="Arial" w:hAnsi="Arial" w:eastAsia="仿宋" w:cs="Arial"/>
          <w:lang w:val="en-US" w:eastAsia="zh-CN"/>
        </w:rPr>
        <w:t xml:space="preserve">further </w:t>
      </w:r>
      <w:r>
        <w:rPr>
          <w:rFonts w:hint="default" w:ascii="Arial" w:hAnsi="Arial" w:eastAsia="仿宋" w:cs="Arial"/>
          <w:lang w:val="en-US" w:eastAsia="zh-CN"/>
        </w:rPr>
        <w:t>d</w:t>
      </w:r>
      <w:r>
        <w:rPr>
          <w:rFonts w:hint="default" w:ascii="Arial" w:hAnsi="Arial" w:eastAsia="仿宋" w:cs="Arial"/>
        </w:rPr>
        <w:t xml:space="preserve">iscussion on </w:t>
      </w:r>
      <w:r>
        <w:rPr>
          <w:rFonts w:hint="eastAsia" w:ascii="Arial" w:hAnsi="Arial" w:eastAsia="仿宋" w:cs="Arial"/>
          <w:lang w:val="en-US" w:eastAsia="zh-CN"/>
        </w:rPr>
        <w:t>cell reselection</w:t>
      </w:r>
      <w:r>
        <w:rPr>
          <w:rFonts w:hint="default" w:ascii="Arial" w:hAnsi="Arial" w:eastAsia="仿宋" w:cs="Arial"/>
        </w:rPr>
        <w:t xml:space="preserve"> enhancements </w:t>
      </w:r>
      <w:r>
        <w:rPr>
          <w:rFonts w:hint="eastAsia" w:ascii="Arial" w:hAnsi="Arial" w:eastAsia="仿宋" w:cs="Arial"/>
          <w:lang w:val="en-US" w:eastAsia="zh-CN"/>
        </w:rPr>
        <w:t>from</w:t>
      </w:r>
      <w:r>
        <w:rPr>
          <w:rFonts w:hint="default" w:ascii="Arial" w:hAnsi="Arial" w:eastAsia="仿宋" w:cs="Arial"/>
        </w:rPr>
        <w:t xml:space="preserve"> E-UTRAN TN to NR-NTN.</w:t>
      </w:r>
    </w:p>
    <w:p>
      <w:pPr>
        <w:pStyle w:val="2"/>
        <w:rPr>
          <w:rFonts w:hint="default" w:eastAsiaTheme="minorEastAsia"/>
          <w:bCs/>
          <w:sz w:val="24"/>
          <w:szCs w:val="24"/>
          <w:u w:val="single"/>
          <w:lang w:val="en-US" w:eastAsia="zh-CN"/>
        </w:rPr>
      </w:pPr>
      <w:r>
        <w:rPr>
          <w:rFonts w:cs="Arial"/>
          <w:sz w:val="32"/>
          <w:szCs w:val="32"/>
        </w:rPr>
        <w:t>Discussion</w:t>
      </w:r>
      <w:bookmarkStart w:id="2" w:name="_Hlk41985036"/>
    </w:p>
    <w:p>
      <w:pPr>
        <w:pStyle w:val="3"/>
        <w:bidi w:val="0"/>
        <w:rPr>
          <w:rFonts w:hint="eastAsia" w:eastAsia="宋体"/>
          <w:lang w:val="en-US" w:eastAsia="zh-CN"/>
        </w:rPr>
      </w:pPr>
      <w:r>
        <w:rPr>
          <w:rFonts w:hint="eastAsia" w:eastAsia="宋体"/>
          <w:lang w:val="en-US" w:eastAsia="zh-CN"/>
        </w:rPr>
        <w:t xml:space="preserve">Provision of the NR satellite assistance information </w:t>
      </w:r>
    </w:p>
    <w:p>
      <w:pPr>
        <w:pStyle w:val="60"/>
        <w:spacing w:after="0"/>
        <w:ind w:left="0" w:firstLine="0"/>
        <w:rPr>
          <w:rFonts w:hint="eastAsia" w:eastAsia="宋体"/>
          <w:lang w:val="en-US" w:eastAsia="zh-CN"/>
        </w:rPr>
      </w:pPr>
      <w:r>
        <w:rPr>
          <w:rFonts w:hint="eastAsia" w:eastAsia="宋体"/>
          <w:lang w:val="en-US" w:eastAsia="zh-CN"/>
        </w:rPr>
        <w:t>Per the discussion, there are 3 options to provide the NR satellite assistance information and needed to make a final decision in this meeting:</w:t>
      </w:r>
    </w:p>
    <w:p>
      <w:pPr>
        <w:pStyle w:val="60"/>
        <w:spacing w:after="0"/>
        <w:ind w:left="0" w:firstLine="0"/>
        <w:rPr>
          <w:rFonts w:hint="default" w:eastAsia="宋体"/>
          <w:lang w:val="en-US" w:eastAsia="zh-CN"/>
        </w:rPr>
      </w:pPr>
      <w:r>
        <w:rPr>
          <w:rFonts w:hint="default" w:eastAsia="宋体"/>
          <w:lang w:val="en-US" w:eastAsia="zh-CN"/>
        </w:rPr>
        <w:tab/>
      </w:r>
      <w:r>
        <w:rPr>
          <w:rFonts w:hint="default" w:eastAsia="宋体"/>
          <w:b/>
          <w:bCs/>
          <w:lang w:val="en-US" w:eastAsia="zh-CN"/>
        </w:rPr>
        <w:t>Option 1</w:t>
      </w:r>
      <w:r>
        <w:rPr>
          <w:rFonts w:hint="default" w:eastAsia="宋体"/>
          <w:lang w:val="en-US" w:eastAsia="zh-CN"/>
        </w:rPr>
        <w:t>: Introduce a new SIB to include the NR satellite assistance information.</w:t>
      </w:r>
    </w:p>
    <w:p>
      <w:pPr>
        <w:pStyle w:val="60"/>
        <w:spacing w:after="0"/>
        <w:ind w:left="0" w:firstLine="0"/>
        <w:rPr>
          <w:rFonts w:hint="default" w:eastAsia="宋体"/>
          <w:lang w:val="en-US" w:eastAsia="zh-CN"/>
        </w:rPr>
      </w:pPr>
      <w:r>
        <w:rPr>
          <w:rFonts w:hint="default" w:eastAsia="宋体"/>
          <w:lang w:val="en-US" w:eastAsia="zh-CN"/>
        </w:rPr>
        <w:tab/>
      </w:r>
      <w:r>
        <w:rPr>
          <w:rFonts w:hint="default" w:eastAsia="宋体"/>
          <w:b/>
          <w:bCs/>
          <w:lang w:val="en-US" w:eastAsia="zh-CN"/>
        </w:rPr>
        <w:t>Option 2</w:t>
      </w:r>
      <w:r>
        <w:rPr>
          <w:rFonts w:hint="default" w:eastAsia="宋体"/>
          <w:lang w:val="en-US" w:eastAsia="zh-CN"/>
        </w:rPr>
        <w:t>: Define new IE for NR satellite assistance information and define separate neighbour satellite information list to provide the NR satellite information in SIB33.</w:t>
      </w:r>
    </w:p>
    <w:p>
      <w:pPr>
        <w:pStyle w:val="60"/>
        <w:spacing w:after="0"/>
        <w:ind w:left="0" w:firstLine="0"/>
        <w:rPr>
          <w:rFonts w:hint="default" w:eastAsia="宋体"/>
          <w:lang w:val="en-US" w:eastAsia="zh-CN"/>
        </w:rPr>
      </w:pPr>
      <w:r>
        <w:rPr>
          <w:rFonts w:hint="default" w:eastAsia="宋体"/>
          <w:lang w:val="en-US" w:eastAsia="zh-CN"/>
        </w:rPr>
        <w:tab/>
      </w:r>
      <w:r>
        <w:rPr>
          <w:rFonts w:hint="default" w:eastAsia="宋体"/>
          <w:b/>
          <w:bCs/>
          <w:lang w:val="en-US" w:eastAsia="zh-CN"/>
        </w:rPr>
        <w:t>Option 3</w:t>
      </w:r>
      <w:r>
        <w:rPr>
          <w:rFonts w:hint="default" w:eastAsia="宋体"/>
          <w:lang w:val="en-US" w:eastAsia="zh-CN"/>
        </w:rPr>
        <w:t xml:space="preserve">: Extend the </w:t>
      </w:r>
      <w:r>
        <w:rPr>
          <w:rFonts w:hint="default" w:eastAsia="宋体"/>
          <w:i/>
          <w:iCs/>
          <w:lang w:val="en-US" w:eastAsia="zh-CN"/>
        </w:rPr>
        <w:t xml:space="preserve">NeighSatelliteInfo </w:t>
      </w:r>
      <w:r>
        <w:rPr>
          <w:rFonts w:hint="default" w:eastAsia="宋体"/>
          <w:lang w:val="en-US" w:eastAsia="zh-CN"/>
        </w:rPr>
        <w:t xml:space="preserve">defined for IoT NTN to include the parameters needed for NR satellite, and reuse the </w:t>
      </w:r>
      <w:r>
        <w:rPr>
          <w:rFonts w:hint="eastAsia" w:eastAsia="宋体"/>
          <w:i/>
          <w:iCs/>
          <w:lang w:val="en-US" w:eastAsia="zh-CN"/>
        </w:rPr>
        <w:t>N</w:t>
      </w:r>
      <w:r>
        <w:rPr>
          <w:rFonts w:hint="default" w:eastAsia="宋体"/>
          <w:i/>
          <w:iCs/>
          <w:lang w:val="en-US" w:eastAsia="zh-CN"/>
        </w:rPr>
        <w:t xml:space="preserve">eighSatelliteInfoList </w:t>
      </w:r>
      <w:r>
        <w:rPr>
          <w:rFonts w:hint="default" w:eastAsia="宋体"/>
          <w:lang w:val="en-US" w:eastAsia="zh-CN"/>
        </w:rPr>
        <w:t>defined in SIB33 to provide either NR or IoT NTN information.</w:t>
      </w:r>
    </w:p>
    <w:p>
      <w:pPr>
        <w:pStyle w:val="60"/>
        <w:spacing w:after="0"/>
        <w:ind w:left="0" w:firstLine="0"/>
        <w:rPr>
          <w:rFonts w:hint="default" w:eastAsia="宋体"/>
          <w:lang w:val="en-US" w:eastAsia="zh-CN"/>
        </w:rPr>
      </w:pPr>
      <w:r>
        <w:rPr>
          <w:rFonts w:hint="eastAsia" w:eastAsia="宋体"/>
          <w:lang w:val="en-US" w:eastAsia="zh-CN"/>
        </w:rPr>
        <w:t xml:space="preserve">Option 1 is simplest and more clear for UE. Option 2 leverage the existing SIB and just introducing a new IE, however, there may be some confusion for the UEs only support IoT-NTN. Option 3 extends the </w:t>
      </w:r>
      <w:r>
        <w:rPr>
          <w:rFonts w:hint="eastAsia" w:eastAsia="宋体"/>
          <w:i/>
          <w:iCs/>
          <w:lang w:val="en-US" w:eastAsia="zh-CN"/>
        </w:rPr>
        <w:t xml:space="preserve">NeighSatelliteInfo </w:t>
      </w:r>
      <w:r>
        <w:rPr>
          <w:rFonts w:hint="eastAsia" w:eastAsia="宋体"/>
          <w:lang w:val="en-US" w:eastAsia="zh-CN"/>
        </w:rPr>
        <w:t>has the same issue with option 2. Further, as in the current specification, the maximum number of neighbour satellite is 4, considering both IoT-NTN neighbour satellites and NR neighbour satellites information are needed, 4 neighbour satellites may not be sufficient. And the maximum number 4 is already taking the LTE SIB size into account, that is to say more satellite information is not able to include in one SIB. Therefore option 1 (i.e. a new SIB) may be better to include the NR satellite assistance information.</w:t>
      </w:r>
    </w:p>
    <w:p>
      <w:pPr>
        <w:pStyle w:val="60"/>
        <w:spacing w:after="0"/>
        <w:ind w:left="0" w:firstLine="0"/>
        <w:rPr>
          <w:rFonts w:hint="eastAsia" w:eastAsia="宋体"/>
          <w:lang w:val="en-US" w:eastAsia="zh-CN"/>
        </w:rPr>
      </w:pPr>
      <w:r>
        <w:rPr>
          <w:rFonts w:hint="eastAsia" w:eastAsia="宋体"/>
          <w:lang w:val="en-US" w:eastAsia="zh-CN"/>
        </w:rPr>
        <w:drawing>
          <wp:inline distT="0" distB="0" distL="114300" distR="114300">
            <wp:extent cx="4762500" cy="1306195"/>
            <wp:effectExtent l="0" t="0" r="0" b="8255"/>
            <wp:docPr id="1" name="图片 1" descr="1720581669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20581669111"/>
                    <pic:cNvPicPr>
                      <a:picLocks noChangeAspect="1"/>
                    </pic:cNvPicPr>
                  </pic:nvPicPr>
                  <pic:blipFill>
                    <a:blip r:embed="rId11"/>
                    <a:stretch>
                      <a:fillRect/>
                    </a:stretch>
                  </pic:blipFill>
                  <pic:spPr>
                    <a:xfrm>
                      <a:off x="0" y="0"/>
                      <a:ext cx="4762500" cy="1306195"/>
                    </a:xfrm>
                    <a:prstGeom prst="rect">
                      <a:avLst/>
                    </a:prstGeom>
                  </pic:spPr>
                </pic:pic>
              </a:graphicData>
            </a:graphic>
          </wp:inline>
        </w:drawing>
      </w:r>
    </w:p>
    <w:p>
      <w:pPr>
        <w:pStyle w:val="60"/>
        <w:spacing w:after="0"/>
        <w:ind w:left="0" w:firstLine="0"/>
        <w:rPr>
          <w:rFonts w:hint="eastAsia" w:eastAsia="宋体"/>
          <w:lang w:val="en-US" w:eastAsia="zh-CN"/>
        </w:rPr>
      </w:pPr>
      <w:r>
        <w:drawing>
          <wp:inline distT="0" distB="0" distL="114300" distR="114300">
            <wp:extent cx="4858385" cy="200025"/>
            <wp:effectExtent l="0" t="0" r="18415" b="952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2"/>
                    <a:stretch>
                      <a:fillRect/>
                    </a:stretch>
                  </pic:blipFill>
                  <pic:spPr>
                    <a:xfrm>
                      <a:off x="0" y="0"/>
                      <a:ext cx="4858385" cy="200025"/>
                    </a:xfrm>
                    <a:prstGeom prst="rect">
                      <a:avLst/>
                    </a:prstGeom>
                    <a:noFill/>
                    <a:ln>
                      <a:noFill/>
                    </a:ln>
                  </pic:spPr>
                </pic:pic>
              </a:graphicData>
            </a:graphic>
          </wp:inline>
        </w:drawing>
      </w:r>
    </w:p>
    <w:p>
      <w:pPr>
        <w:pStyle w:val="60"/>
        <w:spacing w:after="0"/>
        <w:ind w:left="0" w:firstLine="0"/>
        <w:rPr>
          <w:rFonts w:hint="eastAsia" w:eastAsia="宋体"/>
          <w:b/>
          <w:bCs/>
          <w:lang w:val="en-US" w:eastAsia="zh-CN"/>
        </w:rPr>
      </w:pPr>
      <w:r>
        <w:rPr>
          <w:rFonts w:hint="eastAsia" w:eastAsia="宋体"/>
          <w:b/>
          <w:bCs/>
          <w:lang w:val="en-US" w:eastAsia="zh-CN"/>
        </w:rPr>
        <w:t>Proposal 1: Introduce a new SIB to include the NR satellite assistance information (option 1).</w:t>
      </w:r>
    </w:p>
    <w:p>
      <w:pPr>
        <w:pStyle w:val="60"/>
        <w:spacing w:after="0"/>
        <w:ind w:left="0" w:firstLine="0"/>
        <w:rPr>
          <w:rFonts w:hint="eastAsia" w:eastAsia="宋体"/>
          <w:b/>
          <w:bCs/>
          <w:lang w:val="en-US" w:eastAsia="zh-CN"/>
        </w:rPr>
      </w:pPr>
    </w:p>
    <w:p>
      <w:pPr>
        <w:pStyle w:val="60"/>
        <w:spacing w:after="0"/>
        <w:ind w:left="0" w:firstLine="0"/>
        <w:rPr>
          <w:rFonts w:hint="eastAsia" w:eastAsia="宋体"/>
          <w:lang w:val="en-US" w:eastAsia="zh-CN"/>
        </w:rPr>
      </w:pPr>
      <w:r>
        <w:rPr>
          <w:rFonts w:hint="eastAsia" w:eastAsia="宋体"/>
          <w:b w:val="0"/>
          <w:bCs w:val="0"/>
          <w:lang w:val="en-US" w:eastAsia="zh-CN"/>
        </w:rPr>
        <w:t xml:space="preserve">Then regarding the </w:t>
      </w:r>
      <w:r>
        <w:rPr>
          <w:i/>
          <w:iCs/>
        </w:rPr>
        <w:t>ntn-PolarizationD</w:t>
      </w:r>
      <w:r>
        <w:rPr>
          <w:rFonts w:hint="eastAsia" w:eastAsia="宋体"/>
          <w:i/>
          <w:iCs/>
          <w:lang w:val="en-US" w:eastAsia="zh-CN"/>
        </w:rPr>
        <w:t>L</w:t>
      </w:r>
      <w:r>
        <w:rPr>
          <w:rFonts w:hint="eastAsia" w:eastAsia="宋体"/>
          <w:lang w:val="en-US" w:eastAsia="zh-CN"/>
        </w:rPr>
        <w:t xml:space="preserve">, as in current TS 38.331, it is optional present, used to indicate polarization information for downlink transmission on service link: including Right hand, Left hand circular polarizations (RHCP, LHCP) and Linear polarization. </w:t>
      </w:r>
    </w:p>
    <w:p>
      <w:pPr>
        <w:pStyle w:val="60"/>
        <w:spacing w:after="0"/>
        <w:ind w:left="0" w:firstLine="0"/>
        <w:rPr>
          <w:rFonts w:hint="default" w:eastAsia="宋体"/>
          <w:lang w:val="en-US" w:eastAsia="zh-CN"/>
        </w:rPr>
      </w:pPr>
      <w:r>
        <w:rPr>
          <w:rFonts w:hint="default" w:eastAsia="宋体"/>
          <w:lang w:val="en-US" w:eastAsia="zh-CN"/>
        </w:rPr>
        <w:drawing>
          <wp:inline distT="0" distB="0" distL="114300" distR="114300">
            <wp:extent cx="5467985" cy="1956435"/>
            <wp:effectExtent l="0" t="0" r="18415" b="5715"/>
            <wp:docPr id="2" name="图片 2" descr="1720667540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720667540424"/>
                    <pic:cNvPicPr>
                      <a:picLocks noChangeAspect="1"/>
                    </pic:cNvPicPr>
                  </pic:nvPicPr>
                  <pic:blipFill>
                    <a:blip r:embed="rId13"/>
                    <a:stretch>
                      <a:fillRect/>
                    </a:stretch>
                  </pic:blipFill>
                  <pic:spPr>
                    <a:xfrm>
                      <a:off x="0" y="0"/>
                      <a:ext cx="5467985" cy="1956435"/>
                    </a:xfrm>
                    <a:prstGeom prst="rect">
                      <a:avLst/>
                    </a:prstGeom>
                  </pic:spPr>
                </pic:pic>
              </a:graphicData>
            </a:graphic>
          </wp:inline>
        </w:drawing>
      </w:r>
    </w:p>
    <w:p>
      <w:pPr>
        <w:pStyle w:val="60"/>
        <w:spacing w:after="0"/>
        <w:ind w:left="0" w:firstLine="0"/>
        <w:rPr>
          <w:rFonts w:hint="default" w:eastAsia="宋体"/>
          <w:b w:val="0"/>
          <w:bCs w:val="0"/>
          <w:lang w:val="en-US" w:eastAsia="zh-CN"/>
        </w:rPr>
      </w:pPr>
      <w:r>
        <w:rPr>
          <w:rFonts w:hint="eastAsia" w:eastAsia="宋体"/>
          <w:b w:val="0"/>
          <w:bCs w:val="0"/>
          <w:lang w:val="en-US" w:eastAsia="zh-CN"/>
        </w:rPr>
        <w:t xml:space="preserve">For LTE to NR NTN mobility, there is no essential reason to make it mandatory. </w:t>
      </w:r>
    </w:p>
    <w:p>
      <w:pPr>
        <w:pStyle w:val="60"/>
        <w:spacing w:after="0"/>
        <w:ind w:left="0" w:firstLine="0"/>
        <w:rPr>
          <w:rFonts w:hint="default" w:eastAsia="宋体"/>
          <w:b/>
          <w:bCs/>
          <w:lang w:val="en-US" w:eastAsia="zh-CN"/>
        </w:rPr>
      </w:pPr>
      <w:r>
        <w:rPr>
          <w:rFonts w:hint="eastAsia" w:eastAsia="宋体"/>
          <w:b/>
          <w:bCs/>
          <w:lang w:val="en-US" w:eastAsia="zh-CN"/>
        </w:rPr>
        <w:t xml:space="preserve">Proposal 2: Suggest </w:t>
      </w:r>
      <w:r>
        <w:rPr>
          <w:b/>
          <w:bCs/>
          <w:i/>
          <w:iCs/>
        </w:rPr>
        <w:t>ntn-PolarizationD</w:t>
      </w:r>
      <w:r>
        <w:rPr>
          <w:rFonts w:hint="eastAsia" w:eastAsia="宋体"/>
          <w:b/>
          <w:bCs/>
          <w:i/>
          <w:iCs/>
          <w:lang w:val="en-US" w:eastAsia="zh-CN"/>
        </w:rPr>
        <w:t xml:space="preserve">L </w:t>
      </w:r>
      <w:r>
        <w:rPr>
          <w:rFonts w:hint="eastAsia" w:eastAsia="宋体"/>
          <w:b/>
          <w:bCs/>
          <w:i w:val="0"/>
          <w:iCs w:val="0"/>
          <w:lang w:val="en-US" w:eastAsia="zh-CN"/>
        </w:rPr>
        <w:t xml:space="preserve">make optional. </w:t>
      </w:r>
    </w:p>
    <w:p>
      <w:pPr>
        <w:pStyle w:val="3"/>
        <w:bidi w:val="0"/>
        <w:rPr>
          <w:rFonts w:hint="eastAsia" w:eastAsia="宋体"/>
          <w:lang w:val="en-US" w:eastAsia="zh-CN"/>
        </w:rPr>
      </w:pPr>
      <w:r>
        <w:rPr>
          <w:rFonts w:hint="eastAsia" w:eastAsia="宋体"/>
          <w:lang w:val="en-US" w:eastAsia="zh-CN"/>
        </w:rPr>
        <w:t>Cell reselection evaluation and measurement rules</w:t>
      </w:r>
    </w:p>
    <w:p>
      <w:pPr>
        <w:pStyle w:val="60"/>
        <w:spacing w:after="0"/>
        <w:ind w:left="0" w:firstLine="0"/>
        <w:rPr>
          <w:rFonts w:hint="eastAsia" w:eastAsiaTheme="minorEastAsia"/>
          <w:b w:val="0"/>
          <w:bCs/>
          <w:lang w:val="en-US" w:eastAsia="zh-CN"/>
        </w:rPr>
      </w:pPr>
      <w:r>
        <w:rPr>
          <w:rFonts w:hint="eastAsia" w:eastAsiaTheme="minorEastAsia"/>
          <w:b w:val="0"/>
          <w:bCs/>
          <w:lang w:val="en-US" w:eastAsia="zh-CN"/>
        </w:rPr>
        <w:t>For cell reselection evaluation, a working assumption is reached as following:</w:t>
      </w:r>
    </w:p>
    <w:p>
      <w:pPr>
        <w:pStyle w:val="6"/>
        <w:pBdr>
          <w:top w:val="single" w:color="auto" w:sz="4" w:space="1"/>
          <w:left w:val="single" w:color="auto" w:sz="4" w:space="4"/>
          <w:bottom w:val="single" w:color="auto" w:sz="4" w:space="1"/>
          <w:right w:val="single" w:color="auto" w:sz="4" w:space="4"/>
        </w:pBdr>
      </w:pPr>
      <w:r>
        <w:t xml:space="preserve">Working Assumption: </w:t>
      </w:r>
    </w:p>
    <w:p>
      <w:pPr>
        <w:pStyle w:val="6"/>
        <w:numPr>
          <w:ilvl w:val="0"/>
          <w:numId w:val="0"/>
        </w:numPr>
        <w:pBdr>
          <w:top w:val="single" w:color="auto" w:sz="4" w:space="1"/>
          <w:left w:val="single" w:color="auto" w:sz="4" w:space="4"/>
          <w:bottom w:val="single" w:color="auto" w:sz="4" w:space="1"/>
          <w:right w:val="single" w:color="auto" w:sz="4" w:space="4"/>
        </w:pBdr>
        <w:ind w:left="1259" w:leftChars="0"/>
      </w:pPr>
      <w:r>
        <w:rPr>
          <w:rFonts w:hint="eastAsia" w:eastAsia="宋体"/>
          <w:lang w:val="en-US" w:eastAsia="zh-CN"/>
        </w:rPr>
        <w:t>1.</w:t>
      </w:r>
      <w:r>
        <w:rPr>
          <w:rFonts w:hint="eastAsia" w:eastAsia="宋体"/>
          <w:lang w:val="en-US" w:eastAsia="zh-CN"/>
        </w:rPr>
        <w:tab/>
      </w:r>
      <w:r>
        <w:t>NR NTN cell reselection evaluation is based on RRM measurements as legacy; no spec impact foreseen for EUTRA TN to NR NTN cell (can come back in the next meeting to see if the WA can be confirmed)</w:t>
      </w:r>
    </w:p>
    <w:p>
      <w:pPr>
        <w:pStyle w:val="60"/>
        <w:spacing w:after="0"/>
        <w:ind w:left="0" w:firstLine="0"/>
        <w:rPr>
          <w:rFonts w:hint="eastAsia" w:cs="Arial"/>
          <w:color w:val="000000"/>
          <w:lang w:val="en-US" w:eastAsia="zh-CN"/>
        </w:rPr>
      </w:pPr>
      <w:r>
        <w:rPr>
          <w:rFonts w:hint="eastAsia" w:eastAsiaTheme="minorEastAsia"/>
          <w:b w:val="0"/>
          <w:bCs/>
          <w:lang w:val="en-US" w:eastAsia="zh-CN"/>
        </w:rPr>
        <w:t xml:space="preserve">In NR NTN R17, we have discussed how to </w:t>
      </w:r>
      <w:r>
        <w:rPr>
          <w:rFonts w:ascii="Arial" w:hAnsi="Arial" w:cs="Arial"/>
          <w:color w:val="000000"/>
          <w:lang w:eastAsia="zh-CN"/>
        </w:rPr>
        <w:t>prioritize TN over NTN</w:t>
      </w:r>
      <w:r>
        <w:rPr>
          <w:rFonts w:hint="eastAsia" w:cs="Arial"/>
          <w:color w:val="000000"/>
          <w:lang w:val="en-US" w:eastAsia="zh-CN"/>
        </w:rPr>
        <w:t>, and some options are as follows [2]:</w:t>
      </w:r>
    </w:p>
    <w:p>
      <w:pPr>
        <w:pStyle w:val="109"/>
        <w:widowControl w:val="0"/>
        <w:numPr>
          <w:ilvl w:val="0"/>
          <w:numId w:val="13"/>
        </w:numPr>
        <w:spacing w:after="160" w:line="259" w:lineRule="auto"/>
        <w:contextualSpacing w:val="0"/>
        <w:jc w:val="both"/>
        <w:rPr>
          <w:rFonts w:ascii="Arial" w:hAnsi="Arial" w:cs="Arial"/>
          <w:bCs/>
        </w:rPr>
      </w:pPr>
      <w:r>
        <w:rPr>
          <w:rFonts w:ascii="Arial" w:hAnsi="Arial" w:cs="Arial"/>
          <w:b/>
          <w:bCs w:val="0"/>
        </w:rPr>
        <w:t>Option 1</w:t>
      </w:r>
      <w:r>
        <w:rPr>
          <w:rFonts w:hint="eastAsia" w:ascii="Arial" w:hAnsi="Arial" w:cs="Arial"/>
          <w:b/>
          <w:bCs w:val="0"/>
        </w:rPr>
        <w:t>:</w:t>
      </w:r>
      <w:r>
        <w:rPr>
          <w:rFonts w:ascii="Arial" w:hAnsi="Arial" w:cs="Arial"/>
          <w:b/>
          <w:bCs w:val="0"/>
        </w:rPr>
        <w:t xml:space="preserve"> </w:t>
      </w:r>
      <w:r>
        <w:rPr>
          <w:rFonts w:ascii="Arial" w:hAnsi="Arial" w:cs="Arial"/>
          <w:bCs/>
        </w:rPr>
        <w:t>It is “hard” coded in the specification, e.g. in 38.304, that UE always prioritizes TN cell in cell reselection.</w:t>
      </w:r>
    </w:p>
    <w:p>
      <w:pPr>
        <w:pStyle w:val="109"/>
        <w:widowControl w:val="0"/>
        <w:numPr>
          <w:ilvl w:val="0"/>
          <w:numId w:val="13"/>
        </w:numPr>
        <w:spacing w:after="160" w:line="259" w:lineRule="auto"/>
        <w:contextualSpacing w:val="0"/>
        <w:jc w:val="both"/>
        <w:rPr>
          <w:rFonts w:ascii="Arial" w:hAnsi="Arial" w:cs="Arial"/>
          <w:bCs/>
        </w:rPr>
      </w:pPr>
      <w:r>
        <w:rPr>
          <w:rFonts w:hint="eastAsia" w:ascii="Arial" w:hAnsi="Arial" w:cs="Arial"/>
          <w:b/>
          <w:bCs w:val="0"/>
        </w:rPr>
        <w:t>Option 2:</w:t>
      </w:r>
      <w:r>
        <w:rPr>
          <w:rFonts w:hint="eastAsia" w:ascii="Arial" w:hAnsi="Arial" w:cs="Arial"/>
          <w:bCs/>
        </w:rPr>
        <w:t xml:space="preserve"> Indicate in system information of TN or NTN cell or both</w:t>
      </w:r>
      <w:r>
        <w:rPr>
          <w:rFonts w:ascii="Arial" w:hAnsi="Arial" w:cs="Arial"/>
          <w:bCs/>
        </w:rPr>
        <w:t xml:space="preserve"> explicitly</w:t>
      </w:r>
      <w:r>
        <w:rPr>
          <w:rFonts w:hint="eastAsia" w:ascii="Arial" w:hAnsi="Arial" w:cs="Arial"/>
          <w:bCs/>
        </w:rPr>
        <w:t xml:space="preserve">, the need to prioritize TN in the area the NTN/TN cells are covering. </w:t>
      </w:r>
    </w:p>
    <w:p>
      <w:pPr>
        <w:pStyle w:val="109"/>
        <w:widowControl w:val="0"/>
        <w:numPr>
          <w:ilvl w:val="0"/>
          <w:numId w:val="13"/>
        </w:numPr>
        <w:spacing w:after="160" w:line="259" w:lineRule="auto"/>
        <w:contextualSpacing w:val="0"/>
        <w:jc w:val="both"/>
        <w:rPr>
          <w:rFonts w:ascii="Arial" w:hAnsi="Arial" w:cs="Arial"/>
          <w:bCs/>
        </w:rPr>
      </w:pPr>
      <w:r>
        <w:rPr>
          <w:rFonts w:hint="eastAsia" w:ascii="Arial" w:hAnsi="Arial" w:cs="Arial"/>
          <w:b/>
          <w:bCs w:val="0"/>
        </w:rPr>
        <w:t>Option 3:</w:t>
      </w:r>
      <w:r>
        <w:rPr>
          <w:rFonts w:hint="eastAsia" w:ascii="Arial" w:hAnsi="Arial" w:cs="Arial"/>
          <w:bCs/>
        </w:rPr>
        <w:t xml:space="preserve"> Broadcast in system </w:t>
      </w:r>
      <w:r>
        <w:rPr>
          <w:rFonts w:ascii="Arial" w:hAnsi="Arial" w:cs="Arial"/>
          <w:bCs/>
        </w:rPr>
        <w:t>information</w:t>
      </w:r>
      <w:r>
        <w:rPr>
          <w:rFonts w:hint="eastAsia" w:ascii="Arial" w:hAnsi="Arial" w:cs="Arial"/>
          <w:bCs/>
        </w:rPr>
        <w:t xml:space="preserve"> a TN or NTN specific offset to be applied to RSRP measurement result for cell quality</w:t>
      </w:r>
      <w:r>
        <w:rPr>
          <w:rFonts w:ascii="Arial" w:hAnsi="Arial" w:cs="Arial"/>
          <w:bCs/>
        </w:rPr>
        <w:t xml:space="preserve"> so that TN cell will always rank higher.</w:t>
      </w:r>
    </w:p>
    <w:p>
      <w:pPr>
        <w:pStyle w:val="109"/>
        <w:widowControl w:val="0"/>
        <w:numPr>
          <w:ilvl w:val="0"/>
          <w:numId w:val="13"/>
        </w:numPr>
        <w:spacing w:after="160" w:line="259" w:lineRule="auto"/>
        <w:contextualSpacing w:val="0"/>
        <w:jc w:val="both"/>
        <w:rPr>
          <w:rFonts w:ascii="Arial" w:hAnsi="Arial" w:eastAsia="Yu Mincho" w:cs="Arial"/>
          <w:b/>
        </w:rPr>
      </w:pPr>
      <w:r>
        <w:rPr>
          <w:rFonts w:hint="eastAsia" w:ascii="Arial" w:hAnsi="Arial" w:cs="Arial"/>
          <w:b/>
          <w:bCs w:val="0"/>
        </w:rPr>
        <w:t>Option 4:</w:t>
      </w:r>
      <w:r>
        <w:rPr>
          <w:rFonts w:hint="eastAsia" w:ascii="Arial" w:hAnsi="Arial" w:cs="Arial"/>
          <w:bCs/>
        </w:rPr>
        <w:t xml:space="preserve"> UE</w:t>
      </w:r>
      <w:r>
        <w:rPr>
          <w:rFonts w:ascii="Arial" w:hAnsi="Arial" w:cs="Arial"/>
          <w:bCs/>
        </w:rPr>
        <w:t>’</w:t>
      </w:r>
      <w:r>
        <w:rPr>
          <w:rFonts w:hint="eastAsia" w:ascii="Arial" w:hAnsi="Arial" w:cs="Arial"/>
          <w:bCs/>
        </w:rPr>
        <w:t xml:space="preserve">s relaxed measurement mode is impacted to prioritize TN. For example, if UE detects TN cell UE stops any relaxed measurement mode for TN UE might have applied. </w:t>
      </w:r>
    </w:p>
    <w:p>
      <w:pPr>
        <w:pStyle w:val="60"/>
        <w:spacing w:after="0"/>
        <w:ind w:left="0" w:firstLine="0"/>
        <w:rPr>
          <w:rFonts w:hint="eastAsia" w:eastAsia="宋体"/>
          <w:lang w:val="en-US" w:eastAsia="zh-CN"/>
        </w:rPr>
      </w:pPr>
      <w:r>
        <w:rPr>
          <w:rFonts w:hint="eastAsia" w:cs="Arial"/>
          <w:color w:val="000000"/>
          <w:lang w:val="en-US" w:eastAsia="zh-CN"/>
        </w:rPr>
        <w:t xml:space="preserve">However, most companies prefer no further enhancement and </w:t>
      </w:r>
      <w:r>
        <w:rPr>
          <w:rFonts w:hint="eastAsia" w:eastAsia="Malgun Gothic"/>
          <w:lang w:eastAsia="zh-CN"/>
        </w:rPr>
        <w:t>l</w:t>
      </w:r>
      <w:r>
        <w:rPr>
          <w:rFonts w:eastAsia="Malgun Gothic"/>
          <w:lang w:eastAsia="zh-CN"/>
        </w:rPr>
        <w:t xml:space="preserve">egacy </w:t>
      </w:r>
      <w:r>
        <w:rPr>
          <w:rFonts w:hint="eastAsia" w:eastAsia="Malgun Gothic"/>
          <w:lang w:val="en-US" w:eastAsia="zh-CN"/>
        </w:rPr>
        <w:t xml:space="preserve">cell reselection </w:t>
      </w:r>
      <w:r>
        <w:rPr>
          <w:rFonts w:eastAsia="Malgun Gothic"/>
          <w:lang w:eastAsia="zh-CN"/>
        </w:rPr>
        <w:t>prioritization (carrier frequency based)</w:t>
      </w:r>
      <w:r>
        <w:rPr>
          <w:rFonts w:hint="eastAsia" w:eastAsia="Malgun Gothic"/>
          <w:lang w:val="en-US" w:eastAsia="zh-CN"/>
        </w:rPr>
        <w:t xml:space="preserve"> mechanism</w:t>
      </w:r>
      <w:r>
        <w:rPr>
          <w:rFonts w:eastAsia="Malgun Gothic"/>
          <w:lang w:val="en-US" w:eastAsia="ko-KR"/>
        </w:rPr>
        <w:t xml:space="preserve"> is sufficient</w:t>
      </w:r>
      <w:r>
        <w:rPr>
          <w:rFonts w:hint="eastAsia" w:eastAsia="宋体"/>
          <w:lang w:val="en-US" w:eastAsia="zh-CN"/>
        </w:rPr>
        <w:t>. Agreement is reached as following [3]:</w:t>
      </w:r>
    </w:p>
    <w:p>
      <w:pPr>
        <w:pStyle w:val="6"/>
        <w:numPr>
          <w:ilvl w:val="0"/>
          <w:numId w:val="14"/>
        </w:numPr>
        <w:pBdr>
          <w:top w:val="single" w:color="auto" w:sz="4" w:space="1"/>
          <w:left w:val="single" w:color="auto" w:sz="4" w:space="4"/>
          <w:bottom w:val="single" w:color="auto" w:sz="4" w:space="1"/>
          <w:right w:val="single" w:color="auto" w:sz="4" w:space="4"/>
        </w:pBdr>
      </w:pPr>
      <w:r>
        <w:t>No further enhancement on cell reselection procedure to support TN prioritization over NTN in Rel-17.</w:t>
      </w:r>
    </w:p>
    <w:p>
      <w:pPr>
        <w:pStyle w:val="60"/>
        <w:spacing w:after="0"/>
        <w:ind w:left="0" w:firstLine="0"/>
      </w:pPr>
      <w:r>
        <w:rPr>
          <w:rFonts w:hint="eastAsia" w:eastAsia="宋体"/>
          <w:lang w:val="en-US" w:eastAsia="zh-CN"/>
        </w:rPr>
        <w:t>Then in NR NTN R18, we also discussed cell reselection priority between TN and NTN, in[4], it provides some solution that the priority can be configured per slicing, per service type, per mobility state, or per UE type considering different services or different mobility states. However, companies also think there is no need to introduce additional enhancements and agreements are achieved as follows [5]:</w:t>
      </w:r>
    </w:p>
    <w:p>
      <w:pPr>
        <w:pStyle w:val="6"/>
        <w:pBdr>
          <w:top w:val="single" w:color="auto" w:sz="4" w:space="1"/>
          <w:left w:val="single" w:color="auto" w:sz="4" w:space="4"/>
          <w:bottom w:val="single" w:color="auto" w:sz="4" w:space="1"/>
          <w:right w:val="single" w:color="auto" w:sz="4" w:space="4"/>
        </w:pBdr>
      </w:pPr>
      <w:r>
        <w:t>Agreements:</w:t>
      </w:r>
    </w:p>
    <w:p>
      <w:pPr>
        <w:pStyle w:val="6"/>
        <w:numPr>
          <w:ilvl w:val="0"/>
          <w:numId w:val="15"/>
        </w:numPr>
        <w:pBdr>
          <w:top w:val="single" w:color="auto" w:sz="4" w:space="1"/>
          <w:left w:val="single" w:color="auto" w:sz="4" w:space="4"/>
          <w:bottom w:val="single" w:color="auto" w:sz="4" w:space="1"/>
          <w:right w:val="single" w:color="auto" w:sz="4" w:space="4"/>
        </w:pBdr>
      </w:pPr>
      <w:r>
        <w:t xml:space="preserve">We don’t introduce additional cell reselection prioritization rules for NTN vs TN in Rel-18 (e.g. per service type, per mobility state, or per UE type) on top of what specified in Rel-17 </w:t>
      </w:r>
    </w:p>
    <w:p>
      <w:pPr>
        <w:pStyle w:val="6"/>
        <w:ind w:left="0" w:leftChars="0" w:firstLine="0" w:firstLineChars="0"/>
        <w:rPr>
          <w:rFonts w:hint="default" w:eastAsia="宋体"/>
          <w:lang w:val="en-US" w:eastAsia="zh-CN"/>
        </w:rPr>
      </w:pPr>
      <w:r>
        <w:rPr>
          <w:rFonts w:hint="eastAsia" w:eastAsia="宋体"/>
          <w:lang w:val="en-US" w:eastAsia="zh-CN"/>
        </w:rPr>
        <w:t xml:space="preserve">Similarly, for cell reselection evaluation between E-UTRA </w:t>
      </w:r>
      <w:r>
        <w:t>TN</w:t>
      </w:r>
      <w:r>
        <w:rPr>
          <w:rFonts w:hint="eastAsia" w:eastAsia="宋体"/>
          <w:lang w:val="en-US" w:eastAsia="zh-CN"/>
        </w:rPr>
        <w:t xml:space="preserve"> and NR NTN, legacy frequency priority scheme could also be the baseline as mentioned above for NR NTN vs. TN.</w:t>
      </w:r>
    </w:p>
    <w:p>
      <w:pPr>
        <w:pStyle w:val="60"/>
        <w:spacing w:after="0"/>
        <w:ind w:left="0" w:firstLine="0"/>
        <w:rPr>
          <w:rFonts w:hint="eastAsia" w:eastAsia="宋体"/>
          <w:b/>
          <w:bCs/>
          <w:lang w:val="en-US" w:eastAsia="zh-CN"/>
        </w:rPr>
      </w:pPr>
      <w:r>
        <w:rPr>
          <w:rFonts w:hint="eastAsia" w:eastAsiaTheme="minorEastAsia"/>
          <w:b/>
          <w:bCs w:val="0"/>
          <w:lang w:val="en-US" w:eastAsia="zh-CN"/>
        </w:rPr>
        <w:t xml:space="preserve">Proposal 3: </w:t>
      </w:r>
      <w:r>
        <w:rPr>
          <w:rFonts w:hint="eastAsia" w:eastAsia="宋体"/>
          <w:b/>
          <w:bCs/>
          <w:lang w:val="en-US" w:eastAsia="zh-CN"/>
        </w:rPr>
        <w:t>Confirm the working assumption: NR NTN cell reselection evaluation is based on RRM measurements as legacy; no spec impact foreseen for EUTRA TN to NR NTN cell.</w:t>
      </w:r>
    </w:p>
    <w:p>
      <w:pPr>
        <w:pStyle w:val="60"/>
        <w:spacing w:after="0"/>
        <w:ind w:left="0" w:firstLine="0"/>
        <w:rPr>
          <w:rFonts w:hint="eastAsia" w:eastAsia="宋体"/>
          <w:b/>
          <w:bCs/>
          <w:lang w:val="en-US" w:eastAsia="zh-CN"/>
        </w:rPr>
      </w:pPr>
    </w:p>
    <w:p>
      <w:pPr>
        <w:pStyle w:val="60"/>
        <w:spacing w:after="0"/>
        <w:ind w:left="0" w:firstLine="0"/>
        <w:rPr>
          <w:rFonts w:hint="eastAsia" w:eastAsia="宋体"/>
          <w:b w:val="0"/>
          <w:bCs w:val="0"/>
          <w:lang w:val="en-US" w:eastAsia="zh-CN"/>
        </w:rPr>
      </w:pPr>
      <w:r>
        <w:rPr>
          <w:rFonts w:hint="eastAsia" w:eastAsia="宋体"/>
          <w:b w:val="0"/>
          <w:bCs w:val="0"/>
          <w:lang w:val="en-US" w:eastAsia="zh-CN"/>
        </w:rPr>
        <w:t>And for neighbour cell measurement, the following discussion is raised in last meeting:</w:t>
      </w:r>
    </w:p>
    <w:p>
      <w:pPr>
        <w:pStyle w:val="111"/>
      </w:pPr>
      <w:r>
        <w:t xml:space="preserve">Proposal 8: NR NTN neighbor cell measurement initiation is performed as in legacy, i.e. based on RRM measurement as in cell reselection from EUTRA TN to NR TN. No spec impact is needed on cell reselection procedure in TS 36.304. </w:t>
      </w:r>
    </w:p>
    <w:p>
      <w:pPr>
        <w:pStyle w:val="6"/>
      </w:pPr>
      <w:r>
        <w:t>-</w:t>
      </w:r>
      <w:r>
        <w:tab/>
      </w:r>
      <w:r>
        <w:t>Samsung thinks we should check this more until the next meeting. Ericsson agrees</w:t>
      </w:r>
    </w:p>
    <w:p>
      <w:pPr>
        <w:pStyle w:val="107"/>
      </w:pPr>
      <w:r>
        <w:t>Come back in the next meeting</w:t>
      </w:r>
    </w:p>
    <w:p>
      <w:pPr>
        <w:pStyle w:val="60"/>
        <w:spacing w:after="0"/>
        <w:ind w:left="0" w:firstLine="0"/>
        <w:rPr>
          <w:rFonts w:hint="eastAsia" w:eastAsia="宋体"/>
          <w:b w:val="0"/>
          <w:bCs w:val="0"/>
          <w:lang w:val="en-US" w:eastAsia="zh-CN"/>
        </w:rPr>
      </w:pPr>
      <w:r>
        <w:rPr>
          <w:rFonts w:hint="eastAsia" w:eastAsia="宋体"/>
          <w:b w:val="0"/>
          <w:bCs w:val="0"/>
          <w:lang w:val="en-US" w:eastAsia="zh-CN"/>
        </w:rPr>
        <w:t>In both IoT-NTN and NR NTN, we introduce time/location-based solution for neighbor cell measurement. However, both the methods are only used for UEs in a NTN cell, it is obviously not applicable for UEs camp on a LTE TN cell. And for NR TN to NR NTN cell reselection, legacy mechanism based on RRM measurement is supported during our discussion in R18 NR NTN. Therefore, for LTE TN to NR NTN cell reselection, we could just support legacy neighbour cell measurement solution.</w:t>
      </w:r>
    </w:p>
    <w:p>
      <w:pPr>
        <w:pStyle w:val="60"/>
        <w:spacing w:after="0"/>
        <w:ind w:left="0" w:firstLine="0"/>
        <w:rPr>
          <w:rFonts w:hint="eastAsia" w:eastAsia="宋体"/>
          <w:b/>
          <w:bCs/>
          <w:lang w:val="en-US" w:eastAsia="zh-CN"/>
        </w:rPr>
      </w:pPr>
      <w:r>
        <w:rPr>
          <w:rFonts w:hint="eastAsia" w:eastAsia="宋体"/>
          <w:b/>
          <w:bCs/>
          <w:lang w:val="en-US" w:eastAsia="zh-CN"/>
        </w:rPr>
        <w:t>Proposal 4: It is proposed to adopt legacy RRM based neighbor cell measurement mechanism for LTE to NR NTN cell reselection.</w:t>
      </w:r>
    </w:p>
    <w:p>
      <w:pPr>
        <w:pStyle w:val="60"/>
        <w:spacing w:after="0"/>
        <w:ind w:left="0" w:firstLine="0"/>
        <w:rPr>
          <w:rFonts w:hint="eastAsia" w:eastAsia="宋体"/>
          <w:b/>
          <w:bCs/>
          <w:lang w:val="en-US" w:eastAsia="zh-CN"/>
        </w:rPr>
      </w:pPr>
    </w:p>
    <w:p>
      <w:pPr>
        <w:pStyle w:val="60"/>
        <w:spacing w:after="0"/>
        <w:ind w:left="0" w:firstLine="0"/>
        <w:rPr>
          <w:rFonts w:hint="eastAsia" w:eastAsia="宋体"/>
          <w:b w:val="0"/>
          <w:bCs w:val="0"/>
          <w:lang w:val="en-US" w:eastAsia="zh-CN"/>
        </w:rPr>
      </w:pPr>
      <w:r>
        <w:rPr>
          <w:rFonts w:hint="eastAsia" w:eastAsia="宋体"/>
          <w:b w:val="0"/>
          <w:bCs w:val="0"/>
          <w:lang w:val="en-US" w:eastAsia="zh-CN"/>
        </w:rPr>
        <w:t>Then in RAN2 #125bis meeting, a working assumption about SMTC configuration is made:</w:t>
      </w:r>
    </w:p>
    <w:p>
      <w:pPr>
        <w:pStyle w:val="6"/>
        <w:pBdr>
          <w:top w:val="single" w:color="auto" w:sz="4" w:space="1"/>
          <w:left w:val="single" w:color="auto" w:sz="4" w:space="4"/>
          <w:bottom w:val="single" w:color="auto" w:sz="4" w:space="1"/>
          <w:right w:val="single" w:color="auto" w:sz="4" w:space="4"/>
        </w:pBdr>
        <w:ind w:left="1259" w:firstLine="0"/>
      </w:pPr>
      <w:r>
        <w:t>Working Assumption:</w:t>
      </w:r>
    </w:p>
    <w:p>
      <w:pPr>
        <w:pStyle w:val="6"/>
        <w:numPr>
          <w:ilvl w:val="0"/>
          <w:numId w:val="16"/>
        </w:numPr>
        <w:pBdr>
          <w:top w:val="single" w:color="auto" w:sz="4" w:space="1"/>
          <w:left w:val="single" w:color="auto" w:sz="4" w:space="4"/>
          <w:bottom w:val="single" w:color="auto" w:sz="4" w:space="1"/>
          <w:right w:val="single" w:color="auto" w:sz="4" w:space="4"/>
        </w:pBdr>
      </w:pPr>
      <w:r>
        <w:t>We don’t introduce multiple SMTCs in LTE</w:t>
      </w:r>
    </w:p>
    <w:p>
      <w:pPr>
        <w:pStyle w:val="60"/>
        <w:spacing w:after="0"/>
        <w:ind w:left="0" w:firstLine="0"/>
        <w:rPr>
          <w:rFonts w:hint="eastAsia" w:eastAsia="宋体"/>
          <w:b w:val="0"/>
          <w:bCs w:val="0"/>
          <w:lang w:val="en-US" w:eastAsia="zh-CN"/>
        </w:rPr>
      </w:pPr>
      <w:r>
        <w:rPr>
          <w:rFonts w:hint="eastAsia" w:eastAsia="宋体"/>
          <w:b w:val="0"/>
          <w:bCs w:val="0"/>
          <w:lang w:val="en-US" w:eastAsia="zh-CN"/>
        </w:rPr>
        <w:t>Considering that the coverage of a LTE TN cell is much smaller than a NTN cell, there would be not such many neighbour cells compared to NTN serving cell. Therefore multiple SMTCs introduced in NR NTN is not necessary for LTE TN to NR NTN cell reselection.</w:t>
      </w:r>
    </w:p>
    <w:p>
      <w:pPr>
        <w:pStyle w:val="60"/>
        <w:spacing w:after="0"/>
        <w:ind w:left="0" w:firstLine="0"/>
        <w:rPr>
          <w:rFonts w:hint="default" w:eastAsia="宋体"/>
          <w:b/>
          <w:bCs/>
          <w:lang w:val="en-US" w:eastAsia="zh-CN"/>
        </w:rPr>
      </w:pPr>
      <w:r>
        <w:rPr>
          <w:rFonts w:hint="eastAsia" w:eastAsia="宋体"/>
          <w:b/>
          <w:bCs/>
          <w:lang w:val="en-US" w:eastAsia="zh-CN"/>
        </w:rPr>
        <w:t>Proposal 5: Confirm the working assumption: we don</w:t>
      </w:r>
      <w:r>
        <w:rPr>
          <w:rFonts w:hint="default" w:eastAsia="宋体"/>
          <w:b/>
          <w:bCs/>
          <w:lang w:val="en-US" w:eastAsia="zh-CN"/>
        </w:rPr>
        <w:t>’</w:t>
      </w:r>
      <w:r>
        <w:rPr>
          <w:rFonts w:hint="eastAsia" w:eastAsia="宋体"/>
          <w:b/>
          <w:bCs/>
          <w:lang w:val="en-US" w:eastAsia="zh-CN"/>
        </w:rPr>
        <w:t>t introduce multiple SMTCs in LTE.</w:t>
      </w:r>
    </w:p>
    <w:bookmarkEnd w:id="2"/>
    <w:p>
      <w:pPr>
        <w:pStyle w:val="2"/>
        <w:rPr>
          <w:rFonts w:cs="Arial"/>
          <w:sz w:val="32"/>
          <w:szCs w:val="32"/>
        </w:rPr>
      </w:pPr>
      <w:r>
        <w:rPr>
          <w:rFonts w:cs="Arial"/>
          <w:sz w:val="32"/>
          <w:szCs w:val="32"/>
        </w:rPr>
        <w:t>Conclusion</w:t>
      </w:r>
    </w:p>
    <w:p>
      <w:pPr>
        <w:pStyle w:val="60"/>
        <w:spacing w:after="0"/>
        <w:ind w:left="0" w:firstLine="0"/>
        <w:rPr>
          <w:rFonts w:eastAsia="宋体" w:cs="Arial"/>
          <w:sz w:val="20"/>
          <w:szCs w:val="20"/>
        </w:rPr>
      </w:pPr>
      <w:r>
        <w:rPr>
          <w:rFonts w:eastAsia="宋体" w:cs="Arial"/>
          <w:sz w:val="20"/>
          <w:szCs w:val="20"/>
        </w:rPr>
        <w:t xml:space="preserve">Based on the discussions mentioned above, in this contribution we provide some discussions </w:t>
      </w:r>
      <w:r>
        <w:rPr>
          <w:rFonts w:hint="eastAsia" w:eastAsiaTheme="minorEastAsia"/>
          <w:sz w:val="20"/>
          <w:szCs w:val="20"/>
          <w:lang w:eastAsia="zh-CN"/>
        </w:rPr>
        <w:t xml:space="preserve">on </w:t>
      </w:r>
      <w:r>
        <w:rPr>
          <w:rFonts w:hint="eastAsia" w:cs="Arial"/>
        </w:rPr>
        <w:t>mobility enhancements for E-UTRAN TN to NR-NTN</w:t>
      </w:r>
      <w:r>
        <w:rPr>
          <w:rFonts w:eastAsiaTheme="minorEastAsia"/>
          <w:sz w:val="20"/>
          <w:szCs w:val="20"/>
          <w:lang w:eastAsia="zh-CN"/>
        </w:rPr>
        <w:t xml:space="preserve"> </w:t>
      </w:r>
      <w:r>
        <w:rPr>
          <w:rFonts w:eastAsia="宋体" w:cs="Arial"/>
          <w:sz w:val="20"/>
          <w:szCs w:val="20"/>
        </w:rPr>
        <w:t>and have the following proposals:</w:t>
      </w:r>
    </w:p>
    <w:p>
      <w:pPr>
        <w:pStyle w:val="60"/>
        <w:spacing w:after="0"/>
        <w:ind w:left="0" w:firstLine="0"/>
        <w:rPr>
          <w:rFonts w:hint="eastAsia" w:eastAsia="宋体"/>
          <w:b/>
          <w:bCs/>
          <w:lang w:val="en-US" w:eastAsia="zh-CN"/>
        </w:rPr>
      </w:pPr>
      <w:r>
        <w:rPr>
          <w:rFonts w:hint="eastAsia" w:eastAsia="宋体"/>
          <w:b/>
          <w:bCs/>
          <w:lang w:val="en-US" w:eastAsia="zh-CN"/>
        </w:rPr>
        <w:t>Proposal 1: Introduce a new SIB to include the NR satellite assistance information (option 1).</w:t>
      </w:r>
    </w:p>
    <w:p>
      <w:pPr>
        <w:pStyle w:val="60"/>
        <w:spacing w:after="0"/>
        <w:ind w:left="0" w:firstLine="0"/>
        <w:rPr>
          <w:rFonts w:hint="default" w:eastAsia="宋体"/>
          <w:b/>
          <w:bCs/>
          <w:lang w:val="en-US" w:eastAsia="zh-CN"/>
        </w:rPr>
      </w:pPr>
      <w:r>
        <w:rPr>
          <w:rFonts w:hint="eastAsia" w:eastAsia="宋体"/>
          <w:b/>
          <w:bCs/>
          <w:lang w:val="en-US" w:eastAsia="zh-CN"/>
        </w:rPr>
        <w:t xml:space="preserve">Proposal 2: Suggest </w:t>
      </w:r>
      <w:r>
        <w:rPr>
          <w:b/>
          <w:bCs/>
          <w:i/>
          <w:iCs/>
        </w:rPr>
        <w:t>ntn-PolarizationD</w:t>
      </w:r>
      <w:r>
        <w:rPr>
          <w:rFonts w:hint="eastAsia" w:eastAsia="宋体"/>
          <w:b/>
          <w:bCs/>
          <w:i/>
          <w:iCs/>
          <w:lang w:val="en-US" w:eastAsia="zh-CN"/>
        </w:rPr>
        <w:t xml:space="preserve">L </w:t>
      </w:r>
      <w:r>
        <w:rPr>
          <w:rFonts w:hint="eastAsia" w:eastAsia="宋体"/>
          <w:b/>
          <w:bCs/>
          <w:i w:val="0"/>
          <w:iCs w:val="0"/>
          <w:lang w:val="en-US" w:eastAsia="zh-CN"/>
        </w:rPr>
        <w:t xml:space="preserve">make optional. </w:t>
      </w:r>
    </w:p>
    <w:p>
      <w:pPr>
        <w:pStyle w:val="60"/>
        <w:spacing w:after="0"/>
        <w:ind w:left="0" w:firstLine="0"/>
        <w:rPr>
          <w:rFonts w:hint="eastAsia" w:eastAsia="宋体"/>
          <w:b/>
          <w:bCs/>
          <w:lang w:val="en-US" w:eastAsia="zh-CN"/>
        </w:rPr>
      </w:pPr>
      <w:r>
        <w:rPr>
          <w:rFonts w:hint="eastAsia" w:eastAsiaTheme="minorEastAsia"/>
          <w:b/>
          <w:bCs w:val="0"/>
          <w:lang w:val="en-US" w:eastAsia="zh-CN"/>
        </w:rPr>
        <w:t xml:space="preserve">Proposal 3: </w:t>
      </w:r>
      <w:r>
        <w:rPr>
          <w:rFonts w:hint="eastAsia" w:eastAsia="宋体"/>
          <w:b/>
          <w:bCs/>
          <w:lang w:val="en-US" w:eastAsia="zh-CN"/>
        </w:rPr>
        <w:t>Confirm the working assumption: NR NTN cell reselection evaluation is based on RRM measurements as legacy; no spec impact foreseen for EUTRA TN to NR NTN cell.</w:t>
      </w:r>
    </w:p>
    <w:p>
      <w:pPr>
        <w:pStyle w:val="60"/>
        <w:spacing w:after="0"/>
        <w:ind w:left="0" w:firstLine="0"/>
        <w:rPr>
          <w:rFonts w:hint="eastAsia" w:eastAsia="宋体"/>
          <w:b/>
          <w:bCs/>
          <w:lang w:val="en-US" w:eastAsia="zh-CN"/>
        </w:rPr>
      </w:pPr>
      <w:r>
        <w:rPr>
          <w:rFonts w:hint="eastAsia" w:eastAsia="宋体"/>
          <w:b/>
          <w:bCs/>
          <w:lang w:val="en-US" w:eastAsia="zh-CN"/>
        </w:rPr>
        <w:t>Proposal 4: It is proposed to adopt legacy RRM based neighbor cell measurement mechanism for LTE to NR NTN cell reselection.</w:t>
      </w:r>
    </w:p>
    <w:p>
      <w:pPr>
        <w:pStyle w:val="60"/>
        <w:spacing w:after="0"/>
        <w:ind w:left="0" w:firstLine="0"/>
        <w:rPr>
          <w:rFonts w:hint="default" w:eastAsia="宋体"/>
          <w:b/>
          <w:bCs/>
          <w:lang w:val="en-US" w:eastAsia="zh-CN"/>
        </w:rPr>
      </w:pPr>
      <w:r>
        <w:rPr>
          <w:rFonts w:hint="eastAsia" w:eastAsia="宋体"/>
          <w:b/>
          <w:bCs/>
          <w:lang w:val="en-US" w:eastAsia="zh-CN"/>
        </w:rPr>
        <w:t>Proposal 5: Confirm the working assumption: we don</w:t>
      </w:r>
      <w:r>
        <w:rPr>
          <w:rFonts w:hint="default" w:eastAsia="宋体"/>
          <w:b/>
          <w:bCs/>
          <w:lang w:val="en-US" w:eastAsia="zh-CN"/>
        </w:rPr>
        <w:t>’</w:t>
      </w:r>
      <w:r>
        <w:rPr>
          <w:rFonts w:hint="eastAsia" w:eastAsia="宋体"/>
          <w:b/>
          <w:bCs/>
          <w:lang w:val="en-US" w:eastAsia="zh-CN"/>
        </w:rPr>
        <w:t>t introduce multiple SMTCs in LTE.</w:t>
      </w:r>
    </w:p>
    <w:p>
      <w:pPr>
        <w:pStyle w:val="2"/>
        <w:rPr>
          <w:rFonts w:cs="Arial"/>
          <w:sz w:val="32"/>
          <w:szCs w:val="32"/>
        </w:rPr>
      </w:pPr>
      <w:r>
        <w:rPr>
          <w:rFonts w:cs="Arial"/>
          <w:sz w:val="32"/>
          <w:szCs w:val="32"/>
        </w:rPr>
        <w:t>Reference</w:t>
      </w:r>
    </w:p>
    <w:p>
      <w:pPr>
        <w:pStyle w:val="29"/>
        <w:numPr>
          <w:ilvl w:val="0"/>
          <w:numId w:val="17"/>
        </w:numPr>
        <w:overflowPunct/>
        <w:autoSpaceDE/>
        <w:autoSpaceDN/>
        <w:adjustRightInd/>
        <w:spacing w:beforeLines="50" w:after="0"/>
        <w:jc w:val="left"/>
        <w:textAlignment w:val="auto"/>
        <w:rPr>
          <w:rFonts w:hint="eastAsia"/>
          <w:sz w:val="20"/>
          <w:szCs w:val="20"/>
        </w:rPr>
      </w:pPr>
      <w:bookmarkStart w:id="3" w:name="_In-sequence_SDU_delivery"/>
      <w:bookmarkEnd w:id="3"/>
      <w:r>
        <w:rPr>
          <w:rFonts w:hint="eastAsia"/>
          <w:sz w:val="20"/>
          <w:szCs w:val="20"/>
        </w:rPr>
        <w:t>R2-126 NR-NTN-IoT-NTN (Sergio) EOM</w:t>
      </w:r>
    </w:p>
    <w:p>
      <w:pPr>
        <w:pStyle w:val="29"/>
        <w:numPr>
          <w:ilvl w:val="0"/>
          <w:numId w:val="17"/>
        </w:numPr>
        <w:overflowPunct/>
        <w:autoSpaceDE/>
        <w:autoSpaceDN/>
        <w:adjustRightInd/>
        <w:spacing w:beforeLines="50" w:after="0"/>
        <w:jc w:val="left"/>
        <w:textAlignment w:val="auto"/>
        <w:rPr>
          <w:rFonts w:hint="eastAsia"/>
          <w:sz w:val="20"/>
          <w:szCs w:val="20"/>
        </w:rPr>
      </w:pPr>
      <w:r>
        <w:rPr>
          <w:rFonts w:hint="eastAsia"/>
          <w:sz w:val="20"/>
          <w:szCs w:val="20"/>
        </w:rPr>
        <w:t>R2-2203386_[Pre117-e][102][NTN] Idle mode open issues (ZTE)_v25_Rapporteur</w:t>
      </w:r>
    </w:p>
    <w:p>
      <w:pPr>
        <w:pStyle w:val="29"/>
        <w:numPr>
          <w:ilvl w:val="0"/>
          <w:numId w:val="17"/>
        </w:numPr>
        <w:overflowPunct/>
        <w:autoSpaceDE/>
        <w:autoSpaceDN/>
        <w:adjustRightInd/>
        <w:spacing w:beforeLines="50" w:after="0"/>
        <w:jc w:val="left"/>
        <w:textAlignment w:val="auto"/>
        <w:rPr>
          <w:rFonts w:hint="eastAsia"/>
          <w:sz w:val="20"/>
          <w:szCs w:val="20"/>
        </w:rPr>
      </w:pPr>
      <w:r>
        <w:rPr>
          <w:rFonts w:hint="eastAsia"/>
          <w:sz w:val="20"/>
          <w:szCs w:val="20"/>
        </w:rPr>
        <w:t>RAN2-117-e - R17 NTN-REDCAP-CE_EOM</w:t>
      </w:r>
    </w:p>
    <w:p>
      <w:pPr>
        <w:pStyle w:val="29"/>
        <w:numPr>
          <w:ilvl w:val="0"/>
          <w:numId w:val="17"/>
        </w:numPr>
        <w:overflowPunct/>
        <w:autoSpaceDE/>
        <w:autoSpaceDN/>
        <w:adjustRightInd/>
        <w:spacing w:beforeLines="50" w:after="0"/>
        <w:jc w:val="left"/>
        <w:textAlignment w:val="auto"/>
        <w:rPr>
          <w:rFonts w:hint="eastAsia"/>
          <w:sz w:val="20"/>
          <w:szCs w:val="20"/>
        </w:rPr>
      </w:pPr>
      <w:r>
        <w:rPr>
          <w:rFonts w:hint="eastAsia"/>
          <w:sz w:val="20"/>
          <w:szCs w:val="20"/>
        </w:rPr>
        <w:t>R2-2300732</w:t>
      </w:r>
      <w:r>
        <w:rPr>
          <w:rFonts w:hint="eastAsia"/>
          <w:sz w:val="20"/>
          <w:szCs w:val="20"/>
        </w:rPr>
        <w:tab/>
      </w:r>
      <w:r>
        <w:rPr>
          <w:rFonts w:hint="eastAsia"/>
          <w:sz w:val="20"/>
          <w:szCs w:val="20"/>
        </w:rPr>
        <w:t>NTN-TN Cell Reselection Enhancement</w:t>
      </w:r>
      <w:r>
        <w:rPr>
          <w:rFonts w:hint="eastAsia"/>
          <w:sz w:val="20"/>
          <w:szCs w:val="20"/>
        </w:rPr>
        <w:tab/>
      </w:r>
      <w:r>
        <w:rPr>
          <w:rFonts w:hint="eastAsia"/>
          <w:sz w:val="20"/>
          <w:szCs w:val="20"/>
        </w:rPr>
        <w:t>Apple</w:t>
      </w:r>
      <w:r>
        <w:rPr>
          <w:rFonts w:hint="eastAsia"/>
          <w:sz w:val="20"/>
          <w:szCs w:val="20"/>
        </w:rPr>
        <w:tab/>
      </w:r>
      <w:r>
        <w:rPr>
          <w:rFonts w:hint="eastAsia"/>
          <w:sz w:val="20"/>
          <w:szCs w:val="20"/>
        </w:rPr>
        <w:t>discussion</w:t>
      </w:r>
      <w:r>
        <w:rPr>
          <w:rFonts w:hint="eastAsia"/>
          <w:sz w:val="20"/>
          <w:szCs w:val="20"/>
        </w:rPr>
        <w:tab/>
      </w:r>
      <w:r>
        <w:rPr>
          <w:rFonts w:hint="eastAsia"/>
          <w:sz w:val="20"/>
          <w:szCs w:val="20"/>
        </w:rPr>
        <w:t>Rel-18</w:t>
      </w:r>
      <w:r>
        <w:rPr>
          <w:rFonts w:hint="eastAsia"/>
          <w:sz w:val="20"/>
          <w:szCs w:val="20"/>
        </w:rPr>
        <w:tab/>
      </w:r>
      <w:r>
        <w:rPr>
          <w:rFonts w:hint="eastAsia"/>
          <w:sz w:val="20"/>
          <w:szCs w:val="20"/>
        </w:rPr>
        <w:t>NR_NTN_enh-Core</w:t>
      </w:r>
    </w:p>
    <w:p>
      <w:pPr>
        <w:pStyle w:val="29"/>
        <w:numPr>
          <w:ilvl w:val="0"/>
          <w:numId w:val="17"/>
        </w:numPr>
        <w:overflowPunct/>
        <w:autoSpaceDE/>
        <w:autoSpaceDN/>
        <w:adjustRightInd/>
        <w:spacing w:beforeLines="50" w:after="0"/>
        <w:jc w:val="left"/>
        <w:textAlignment w:val="auto"/>
        <w:rPr>
          <w:rFonts w:hint="eastAsia"/>
          <w:sz w:val="20"/>
          <w:szCs w:val="20"/>
        </w:rPr>
      </w:pPr>
      <w:r>
        <w:rPr>
          <w:rFonts w:hint="eastAsia"/>
          <w:sz w:val="20"/>
          <w:szCs w:val="20"/>
        </w:rPr>
        <w:t>R2-2301901 - Report from Break-out session on NR-NTN, IoT-NTN and RedCap</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center" w:pos="4820"/>
        <w:tab w:val="right" w:pos="9639"/>
      </w:tabs>
      <w:jc w:val="left"/>
    </w:pPr>
    <w:r>
      <w:tab/>
    </w:r>
    <w:r>
      <w:rPr>
        <w:rStyle w:val="50"/>
      </w:rPr>
      <w:fldChar w:fldCharType="begin"/>
    </w:r>
    <w:r>
      <w:rPr>
        <w:rStyle w:val="50"/>
      </w:rPr>
      <w:instrText xml:space="preserve"> PAGE </w:instrText>
    </w:r>
    <w:r>
      <w:rPr>
        <w:rStyle w:val="50"/>
      </w:rPr>
      <w:fldChar w:fldCharType="separate"/>
    </w:r>
    <w:r>
      <w:rPr>
        <w:rStyle w:val="50"/>
      </w:rPr>
      <w:t>4</w:t>
    </w:r>
    <w:r>
      <w:rPr>
        <w:rStyle w:val="50"/>
      </w:rPr>
      <w:fldChar w:fldCharType="end"/>
    </w:r>
    <w:r>
      <w:rPr>
        <w:rStyle w:val="50"/>
      </w:rPr>
      <w:t>/</w:t>
    </w:r>
    <w:r>
      <w:rPr>
        <w:rStyle w:val="50"/>
      </w:rPr>
      <w:fldChar w:fldCharType="begin"/>
    </w:r>
    <w:r>
      <w:rPr>
        <w:rStyle w:val="50"/>
      </w:rPr>
      <w:instrText xml:space="preserve"> NUMPAGES </w:instrText>
    </w:r>
    <w:r>
      <w:rPr>
        <w:rStyle w:val="50"/>
      </w:rPr>
      <w:fldChar w:fldCharType="separate"/>
    </w:r>
    <w:r>
      <w:rPr>
        <w:rStyle w:val="50"/>
      </w:rPr>
      <w:t>4</w:t>
    </w:r>
    <w:r>
      <w:rPr>
        <w:rStyle w:val="50"/>
      </w:rPr>
      <w:fldChar w:fldCharType="end"/>
    </w:r>
    <w:r>
      <w:rPr>
        <w:rStyle w:val="5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9"/>
      <w:lvlText w:val="%1.%2.%3.%4.%5.%6"/>
      <w:lvlJc w:val="left"/>
      <w:pPr>
        <w:tabs>
          <w:tab w:val="left" w:pos="1152"/>
        </w:tabs>
        <w:ind w:left="1152" w:hanging="1152"/>
      </w:pPr>
      <w:rPr>
        <w:rFonts w:hint="default"/>
      </w:rPr>
    </w:lvl>
    <w:lvl w:ilvl="6" w:tentative="0">
      <w:start w:val="1"/>
      <w:numFmt w:val="decimal"/>
      <w:pStyle w:val="10"/>
      <w:lvlText w:val="%1.%2.%3.%4.%5.%6.%7"/>
      <w:lvlJc w:val="left"/>
      <w:pPr>
        <w:tabs>
          <w:tab w:val="left" w:pos="1296"/>
        </w:tabs>
        <w:ind w:left="1296" w:hanging="1296"/>
      </w:pPr>
      <w:rPr>
        <w:rFonts w:hint="default"/>
      </w:rPr>
    </w:lvl>
    <w:lvl w:ilvl="7" w:tentative="0">
      <w:start w:val="1"/>
      <w:numFmt w:val="decimal"/>
      <w:pStyle w:val="11"/>
      <w:lvlText w:val="%1.%2.%3.%4.%5.%6.%7.%8"/>
      <w:lvlJc w:val="left"/>
      <w:pPr>
        <w:tabs>
          <w:tab w:val="left" w:pos="1440"/>
        </w:tabs>
        <w:ind w:left="1440" w:hanging="1440"/>
      </w:pPr>
      <w:rPr>
        <w:rFonts w:hint="default"/>
      </w:rPr>
    </w:lvl>
    <w:lvl w:ilvl="8" w:tentative="0">
      <w:start w:val="1"/>
      <w:numFmt w:val="decimal"/>
      <w:pStyle w:val="12"/>
      <w:lvlText w:val="%1.%2.%3.%4.%5.%6.%7.%8.%9"/>
      <w:lvlJc w:val="left"/>
      <w:pPr>
        <w:tabs>
          <w:tab w:val="left" w:pos="1584"/>
        </w:tabs>
        <w:ind w:left="1584" w:hanging="1584"/>
      </w:pPr>
      <w:rPr>
        <w:rFonts w:hint="default"/>
      </w:rPr>
    </w:lvl>
  </w:abstractNum>
  <w:abstractNum w:abstractNumId="1">
    <w:nsid w:val="05E670D2"/>
    <w:multiLevelType w:val="multilevel"/>
    <w:tmpl w:val="05E670D2"/>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2">
    <w:nsid w:val="15DB3941"/>
    <w:multiLevelType w:val="multilevel"/>
    <w:tmpl w:val="15DB3941"/>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3">
    <w:nsid w:val="198C5872"/>
    <w:multiLevelType w:val="multilevel"/>
    <w:tmpl w:val="198C5872"/>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4">
    <w:nsid w:val="310B38FD"/>
    <w:multiLevelType w:val="multilevel"/>
    <w:tmpl w:val="310B38FD"/>
    <w:lvl w:ilvl="0" w:tentative="0">
      <w:start w:val="1"/>
      <w:numFmt w:val="bullet"/>
      <w:pStyle w:val="28"/>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1CD34B6"/>
    <w:multiLevelType w:val="multilevel"/>
    <w:tmpl w:val="31CD34B6"/>
    <w:lvl w:ilvl="0" w:tentative="0">
      <w:start w:val="1"/>
      <w:numFmt w:val="bullet"/>
      <w:pStyle w:val="25"/>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38176839"/>
    <w:multiLevelType w:val="singleLevel"/>
    <w:tmpl w:val="38176839"/>
    <w:lvl w:ilvl="0" w:tentative="0">
      <w:start w:val="1"/>
      <w:numFmt w:val="decimal"/>
      <w:suff w:val="space"/>
      <w:lvlText w:val="[%1]"/>
      <w:lvlJc w:val="left"/>
    </w:lvl>
  </w:abstractNum>
  <w:abstractNum w:abstractNumId="7">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BCA721D"/>
    <w:multiLevelType w:val="multilevel"/>
    <w:tmpl w:val="3BCA721D"/>
    <w:lvl w:ilvl="0" w:tentative="0">
      <w:start w:val="1"/>
      <w:numFmt w:val="bullet"/>
      <w:pStyle w:val="33"/>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9">
    <w:nsid w:val="3FD103B1"/>
    <w:multiLevelType w:val="multilevel"/>
    <w:tmpl w:val="3FD103B1"/>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0">
    <w:nsid w:val="43303F73"/>
    <w:multiLevelType w:val="multilevel"/>
    <w:tmpl w:val="43303F73"/>
    <w:lvl w:ilvl="0" w:tentative="0">
      <w:start w:val="1"/>
      <w:numFmt w:val="bullet"/>
      <w:pStyle w:val="27"/>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57F52A81"/>
    <w:multiLevelType w:val="multilevel"/>
    <w:tmpl w:val="57F52A81"/>
    <w:lvl w:ilvl="0" w:tentative="0">
      <w:start w:val="1"/>
      <w:numFmt w:val="bullet"/>
      <w:pStyle w:val="2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AA96FA5"/>
    <w:multiLevelType w:val="multilevel"/>
    <w:tmpl w:val="7AA96FA5"/>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6">
    <w:nsid w:val="7E362DA4"/>
    <w:multiLevelType w:val="multilevel"/>
    <w:tmpl w:val="7E362DA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5"/>
  </w:num>
  <w:num w:numId="3">
    <w:abstractNumId w:val="13"/>
  </w:num>
  <w:num w:numId="4">
    <w:abstractNumId w:val="10"/>
  </w:num>
  <w:num w:numId="5">
    <w:abstractNumId w:val="4"/>
  </w:num>
  <w:num w:numId="6">
    <w:abstractNumId w:val="8"/>
  </w:num>
  <w:num w:numId="7">
    <w:abstractNumId w:val="11"/>
  </w:num>
  <w:num w:numId="8">
    <w:abstractNumId w:val="7"/>
  </w:num>
  <w:num w:numId="9">
    <w:abstractNumId w:val="12"/>
  </w:num>
  <w:num w:numId="10">
    <w:abstractNumId w:val="14"/>
  </w:num>
  <w:num w:numId="11">
    <w:abstractNumId w:val="2"/>
  </w:num>
  <w:num w:numId="12">
    <w:abstractNumId w:val="1"/>
  </w:num>
  <w:num w:numId="13">
    <w:abstractNumId w:val="16"/>
  </w:num>
  <w:num w:numId="14">
    <w:abstractNumId w:val="9"/>
  </w:num>
  <w:num w:numId="15">
    <w:abstractNumId w:val="15"/>
  </w:num>
  <w:num w:numId="16">
    <w:abstractNumId w:val="3"/>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4863"/>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304"/>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152"/>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27"/>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427"/>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3EF"/>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5D53"/>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6D1"/>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1EFD"/>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5B631E"/>
    <w:rsid w:val="016318F9"/>
    <w:rsid w:val="019A10AD"/>
    <w:rsid w:val="01B06F0E"/>
    <w:rsid w:val="022F4B03"/>
    <w:rsid w:val="02545051"/>
    <w:rsid w:val="02744528"/>
    <w:rsid w:val="02CC0A1F"/>
    <w:rsid w:val="031025DB"/>
    <w:rsid w:val="03A11802"/>
    <w:rsid w:val="03F47F88"/>
    <w:rsid w:val="048A5003"/>
    <w:rsid w:val="04B403C6"/>
    <w:rsid w:val="04BC080F"/>
    <w:rsid w:val="04F50E2F"/>
    <w:rsid w:val="05131CC7"/>
    <w:rsid w:val="05253B7D"/>
    <w:rsid w:val="05574AA2"/>
    <w:rsid w:val="05606A49"/>
    <w:rsid w:val="057811CA"/>
    <w:rsid w:val="05983EBC"/>
    <w:rsid w:val="059F751E"/>
    <w:rsid w:val="06261BBF"/>
    <w:rsid w:val="0654248D"/>
    <w:rsid w:val="06565EAE"/>
    <w:rsid w:val="06C0639B"/>
    <w:rsid w:val="06F84D7D"/>
    <w:rsid w:val="07353C74"/>
    <w:rsid w:val="07651475"/>
    <w:rsid w:val="078C1F33"/>
    <w:rsid w:val="07B959B1"/>
    <w:rsid w:val="07EF7893"/>
    <w:rsid w:val="07FE15B0"/>
    <w:rsid w:val="083F0917"/>
    <w:rsid w:val="0841118C"/>
    <w:rsid w:val="08625F95"/>
    <w:rsid w:val="086B7D75"/>
    <w:rsid w:val="0870043B"/>
    <w:rsid w:val="08AF444E"/>
    <w:rsid w:val="09133D3D"/>
    <w:rsid w:val="0913705D"/>
    <w:rsid w:val="09B1188B"/>
    <w:rsid w:val="0A1A51CE"/>
    <w:rsid w:val="0A9740DA"/>
    <w:rsid w:val="0ACC0F45"/>
    <w:rsid w:val="0B171650"/>
    <w:rsid w:val="0B4A1814"/>
    <w:rsid w:val="0B510D2F"/>
    <w:rsid w:val="0BD60B5C"/>
    <w:rsid w:val="0C4E5F2A"/>
    <w:rsid w:val="0CAE5B2E"/>
    <w:rsid w:val="0D524167"/>
    <w:rsid w:val="0D681ED9"/>
    <w:rsid w:val="0D6A0CCF"/>
    <w:rsid w:val="0D6C179F"/>
    <w:rsid w:val="0DDB664A"/>
    <w:rsid w:val="0DEE15B3"/>
    <w:rsid w:val="0E2D153A"/>
    <w:rsid w:val="0E321D7B"/>
    <w:rsid w:val="0E76093E"/>
    <w:rsid w:val="0E8662DB"/>
    <w:rsid w:val="0E891356"/>
    <w:rsid w:val="0E997EF0"/>
    <w:rsid w:val="0EAD3293"/>
    <w:rsid w:val="0EC440FF"/>
    <w:rsid w:val="0EF139CD"/>
    <w:rsid w:val="0F170A4E"/>
    <w:rsid w:val="0FCC0A5A"/>
    <w:rsid w:val="0FE0018D"/>
    <w:rsid w:val="10221AC0"/>
    <w:rsid w:val="10842F24"/>
    <w:rsid w:val="11043CD0"/>
    <w:rsid w:val="110F10D1"/>
    <w:rsid w:val="11190A50"/>
    <w:rsid w:val="11B82D63"/>
    <w:rsid w:val="11C5063A"/>
    <w:rsid w:val="128D2197"/>
    <w:rsid w:val="12B27083"/>
    <w:rsid w:val="12BA7EC6"/>
    <w:rsid w:val="13116F0E"/>
    <w:rsid w:val="13132FCE"/>
    <w:rsid w:val="134A0035"/>
    <w:rsid w:val="135C7F4F"/>
    <w:rsid w:val="141B1C76"/>
    <w:rsid w:val="14A20FFB"/>
    <w:rsid w:val="15240DA5"/>
    <w:rsid w:val="153214F9"/>
    <w:rsid w:val="153372CB"/>
    <w:rsid w:val="153866E8"/>
    <w:rsid w:val="15D82D13"/>
    <w:rsid w:val="164D618C"/>
    <w:rsid w:val="16563130"/>
    <w:rsid w:val="169343E9"/>
    <w:rsid w:val="16AA08E2"/>
    <w:rsid w:val="16F24CA6"/>
    <w:rsid w:val="171776E1"/>
    <w:rsid w:val="177E36D0"/>
    <w:rsid w:val="180E362D"/>
    <w:rsid w:val="184002DC"/>
    <w:rsid w:val="1859524A"/>
    <w:rsid w:val="18787128"/>
    <w:rsid w:val="18B9619D"/>
    <w:rsid w:val="18FA2FE6"/>
    <w:rsid w:val="19025FAA"/>
    <w:rsid w:val="191242AE"/>
    <w:rsid w:val="19AC5C42"/>
    <w:rsid w:val="19BC1AC5"/>
    <w:rsid w:val="19C3708D"/>
    <w:rsid w:val="1A330485"/>
    <w:rsid w:val="1AD70A40"/>
    <w:rsid w:val="1AEF5DBD"/>
    <w:rsid w:val="1AFB50A8"/>
    <w:rsid w:val="1B423649"/>
    <w:rsid w:val="1BA24967"/>
    <w:rsid w:val="1BD95F94"/>
    <w:rsid w:val="1BDA5141"/>
    <w:rsid w:val="1C3D1CD0"/>
    <w:rsid w:val="1C5E7298"/>
    <w:rsid w:val="1C851710"/>
    <w:rsid w:val="1DDD518B"/>
    <w:rsid w:val="1DEE0D18"/>
    <w:rsid w:val="1E3072B7"/>
    <w:rsid w:val="1E403C53"/>
    <w:rsid w:val="1EA20D4A"/>
    <w:rsid w:val="1EAA6DF5"/>
    <w:rsid w:val="1EFF6958"/>
    <w:rsid w:val="1F012104"/>
    <w:rsid w:val="1F0A1209"/>
    <w:rsid w:val="1F430AAD"/>
    <w:rsid w:val="1F734328"/>
    <w:rsid w:val="1FA11974"/>
    <w:rsid w:val="20203DE8"/>
    <w:rsid w:val="2031215C"/>
    <w:rsid w:val="205B6824"/>
    <w:rsid w:val="20955704"/>
    <w:rsid w:val="20B46092"/>
    <w:rsid w:val="20B64383"/>
    <w:rsid w:val="20DB7C51"/>
    <w:rsid w:val="20E465AD"/>
    <w:rsid w:val="20E9518E"/>
    <w:rsid w:val="211313D4"/>
    <w:rsid w:val="21607459"/>
    <w:rsid w:val="21853E00"/>
    <w:rsid w:val="21A8193B"/>
    <w:rsid w:val="21F86645"/>
    <w:rsid w:val="22940D99"/>
    <w:rsid w:val="234E7F45"/>
    <w:rsid w:val="236D03A7"/>
    <w:rsid w:val="23DC392C"/>
    <w:rsid w:val="245B6D34"/>
    <w:rsid w:val="24B5447A"/>
    <w:rsid w:val="24B82068"/>
    <w:rsid w:val="24E10292"/>
    <w:rsid w:val="24E1583C"/>
    <w:rsid w:val="24FA5872"/>
    <w:rsid w:val="24FD433F"/>
    <w:rsid w:val="25043CC9"/>
    <w:rsid w:val="25D97F3F"/>
    <w:rsid w:val="2626306D"/>
    <w:rsid w:val="26553B39"/>
    <w:rsid w:val="26946B35"/>
    <w:rsid w:val="27306E68"/>
    <w:rsid w:val="27606908"/>
    <w:rsid w:val="2773468D"/>
    <w:rsid w:val="277E77C1"/>
    <w:rsid w:val="27E26E59"/>
    <w:rsid w:val="2809471B"/>
    <w:rsid w:val="28255BB3"/>
    <w:rsid w:val="283B220A"/>
    <w:rsid w:val="285478B9"/>
    <w:rsid w:val="287D5E75"/>
    <w:rsid w:val="28AD0B61"/>
    <w:rsid w:val="29423CBE"/>
    <w:rsid w:val="29CD3FA9"/>
    <w:rsid w:val="2A3F3E52"/>
    <w:rsid w:val="2A4B23FB"/>
    <w:rsid w:val="2A987420"/>
    <w:rsid w:val="2AB8524F"/>
    <w:rsid w:val="2AC82235"/>
    <w:rsid w:val="2AF0613E"/>
    <w:rsid w:val="2B083F92"/>
    <w:rsid w:val="2B542A45"/>
    <w:rsid w:val="2BE54292"/>
    <w:rsid w:val="2CF51ED1"/>
    <w:rsid w:val="2CFA23BD"/>
    <w:rsid w:val="2D3B228A"/>
    <w:rsid w:val="2D5923F4"/>
    <w:rsid w:val="2DA67B73"/>
    <w:rsid w:val="2DB6192E"/>
    <w:rsid w:val="2DF36570"/>
    <w:rsid w:val="2E1275F1"/>
    <w:rsid w:val="2E4C2285"/>
    <w:rsid w:val="2EB775B3"/>
    <w:rsid w:val="2EE85B84"/>
    <w:rsid w:val="2EF94A67"/>
    <w:rsid w:val="302E07AF"/>
    <w:rsid w:val="30946552"/>
    <w:rsid w:val="31042E81"/>
    <w:rsid w:val="311B0263"/>
    <w:rsid w:val="3122570E"/>
    <w:rsid w:val="319D3380"/>
    <w:rsid w:val="31AE180F"/>
    <w:rsid w:val="31DF65CC"/>
    <w:rsid w:val="32705B18"/>
    <w:rsid w:val="32A942B0"/>
    <w:rsid w:val="32E16793"/>
    <w:rsid w:val="32F13120"/>
    <w:rsid w:val="32FE0237"/>
    <w:rsid w:val="333663A2"/>
    <w:rsid w:val="333704BD"/>
    <w:rsid w:val="33E26367"/>
    <w:rsid w:val="33F614DE"/>
    <w:rsid w:val="347C3CC9"/>
    <w:rsid w:val="34914DCA"/>
    <w:rsid w:val="34C6331F"/>
    <w:rsid w:val="34D95BB9"/>
    <w:rsid w:val="34F027A5"/>
    <w:rsid w:val="350721BF"/>
    <w:rsid w:val="3557539D"/>
    <w:rsid w:val="361C2353"/>
    <w:rsid w:val="3635547B"/>
    <w:rsid w:val="36746B61"/>
    <w:rsid w:val="36946ACC"/>
    <w:rsid w:val="36A9407C"/>
    <w:rsid w:val="36FA1D41"/>
    <w:rsid w:val="37693EC9"/>
    <w:rsid w:val="37C2178A"/>
    <w:rsid w:val="380411EC"/>
    <w:rsid w:val="3829480D"/>
    <w:rsid w:val="383529C2"/>
    <w:rsid w:val="383C5BD0"/>
    <w:rsid w:val="38536D3F"/>
    <w:rsid w:val="385653EC"/>
    <w:rsid w:val="388727CC"/>
    <w:rsid w:val="39024B57"/>
    <w:rsid w:val="392321DF"/>
    <w:rsid w:val="39BD6FC6"/>
    <w:rsid w:val="3A06167E"/>
    <w:rsid w:val="3A5E7CCF"/>
    <w:rsid w:val="3A6F42D5"/>
    <w:rsid w:val="3A752D25"/>
    <w:rsid w:val="3A82293D"/>
    <w:rsid w:val="3A9E2AD9"/>
    <w:rsid w:val="3AA31842"/>
    <w:rsid w:val="3BB55C74"/>
    <w:rsid w:val="3BC23F1A"/>
    <w:rsid w:val="3C5503C9"/>
    <w:rsid w:val="3CD8469E"/>
    <w:rsid w:val="3D2E7413"/>
    <w:rsid w:val="3D966C01"/>
    <w:rsid w:val="3DA51E2F"/>
    <w:rsid w:val="3DB43891"/>
    <w:rsid w:val="3DF97B1A"/>
    <w:rsid w:val="3EBF3FFA"/>
    <w:rsid w:val="3EE00B8B"/>
    <w:rsid w:val="3F3903BA"/>
    <w:rsid w:val="40325295"/>
    <w:rsid w:val="403F2559"/>
    <w:rsid w:val="40F82E28"/>
    <w:rsid w:val="413E0670"/>
    <w:rsid w:val="41585AC3"/>
    <w:rsid w:val="41B34CCB"/>
    <w:rsid w:val="420610DF"/>
    <w:rsid w:val="429544E1"/>
    <w:rsid w:val="42CE6929"/>
    <w:rsid w:val="42F71CEC"/>
    <w:rsid w:val="434B1776"/>
    <w:rsid w:val="43CE2F36"/>
    <w:rsid w:val="443B107F"/>
    <w:rsid w:val="44B14540"/>
    <w:rsid w:val="44BA7E1E"/>
    <w:rsid w:val="44BE79C3"/>
    <w:rsid w:val="44F81D24"/>
    <w:rsid w:val="4550785F"/>
    <w:rsid w:val="45543B2E"/>
    <w:rsid w:val="457A2409"/>
    <w:rsid w:val="45CA31DA"/>
    <w:rsid w:val="45EC6821"/>
    <w:rsid w:val="45F303D0"/>
    <w:rsid w:val="464004CF"/>
    <w:rsid w:val="46B51FCF"/>
    <w:rsid w:val="46BA0199"/>
    <w:rsid w:val="47062A9A"/>
    <w:rsid w:val="473654D4"/>
    <w:rsid w:val="475C78B7"/>
    <w:rsid w:val="47993F84"/>
    <w:rsid w:val="47BD666C"/>
    <w:rsid w:val="480A17DC"/>
    <w:rsid w:val="486A1FA3"/>
    <w:rsid w:val="491E031D"/>
    <w:rsid w:val="499804E8"/>
    <w:rsid w:val="4A284A82"/>
    <w:rsid w:val="4A662E1D"/>
    <w:rsid w:val="4A7E32B4"/>
    <w:rsid w:val="4AB46427"/>
    <w:rsid w:val="4AFC533A"/>
    <w:rsid w:val="4B1367B9"/>
    <w:rsid w:val="4B316DE7"/>
    <w:rsid w:val="4B9E419F"/>
    <w:rsid w:val="4C353BC7"/>
    <w:rsid w:val="4C5D54D6"/>
    <w:rsid w:val="4C814518"/>
    <w:rsid w:val="4C91315E"/>
    <w:rsid w:val="4CAD0872"/>
    <w:rsid w:val="4CCE50CA"/>
    <w:rsid w:val="4D077DA2"/>
    <w:rsid w:val="4D1D1942"/>
    <w:rsid w:val="4D3A24A4"/>
    <w:rsid w:val="4D594475"/>
    <w:rsid w:val="4DB06342"/>
    <w:rsid w:val="4DEC01C6"/>
    <w:rsid w:val="4DF158ED"/>
    <w:rsid w:val="4E4D0205"/>
    <w:rsid w:val="4EC83A06"/>
    <w:rsid w:val="4F2C3853"/>
    <w:rsid w:val="4F7F20AA"/>
    <w:rsid w:val="4F873909"/>
    <w:rsid w:val="4F987D75"/>
    <w:rsid w:val="4FF617D6"/>
    <w:rsid w:val="506B2DFC"/>
    <w:rsid w:val="506E2756"/>
    <w:rsid w:val="50E64646"/>
    <w:rsid w:val="516A6684"/>
    <w:rsid w:val="518C6DB2"/>
    <w:rsid w:val="51E261D3"/>
    <w:rsid w:val="522E4CB2"/>
    <w:rsid w:val="526327EF"/>
    <w:rsid w:val="532C26FC"/>
    <w:rsid w:val="53322A76"/>
    <w:rsid w:val="53C54AA3"/>
    <w:rsid w:val="54A648D1"/>
    <w:rsid w:val="54AC6338"/>
    <w:rsid w:val="54E44ED6"/>
    <w:rsid w:val="55571991"/>
    <w:rsid w:val="557213D6"/>
    <w:rsid w:val="566931AC"/>
    <w:rsid w:val="568A06D1"/>
    <w:rsid w:val="56F374FB"/>
    <w:rsid w:val="58B06A81"/>
    <w:rsid w:val="59620232"/>
    <w:rsid w:val="59A00F56"/>
    <w:rsid w:val="59B24039"/>
    <w:rsid w:val="59C22E50"/>
    <w:rsid w:val="5A31005C"/>
    <w:rsid w:val="5AD27471"/>
    <w:rsid w:val="5B3D411A"/>
    <w:rsid w:val="5B8D1AC1"/>
    <w:rsid w:val="5BA3592C"/>
    <w:rsid w:val="5C610721"/>
    <w:rsid w:val="5C8B6FF1"/>
    <w:rsid w:val="5CA24B2D"/>
    <w:rsid w:val="5CAE541B"/>
    <w:rsid w:val="5CB30402"/>
    <w:rsid w:val="5CFE4143"/>
    <w:rsid w:val="5DA318BF"/>
    <w:rsid w:val="5E055781"/>
    <w:rsid w:val="5E0E7F2F"/>
    <w:rsid w:val="5E204AD7"/>
    <w:rsid w:val="5E4C6102"/>
    <w:rsid w:val="5E6D4A94"/>
    <w:rsid w:val="5E6D4BC0"/>
    <w:rsid w:val="5EE4466F"/>
    <w:rsid w:val="5EEA5BA3"/>
    <w:rsid w:val="5F3E69CE"/>
    <w:rsid w:val="5FBA4AB4"/>
    <w:rsid w:val="5FC542C7"/>
    <w:rsid w:val="6009519E"/>
    <w:rsid w:val="602A2D5D"/>
    <w:rsid w:val="60AD5F5F"/>
    <w:rsid w:val="60C00963"/>
    <w:rsid w:val="60E30438"/>
    <w:rsid w:val="612C1E11"/>
    <w:rsid w:val="612D3C7B"/>
    <w:rsid w:val="61826F89"/>
    <w:rsid w:val="623E2101"/>
    <w:rsid w:val="62947A1C"/>
    <w:rsid w:val="62CD6DE1"/>
    <w:rsid w:val="62E70A4E"/>
    <w:rsid w:val="62FD4A9D"/>
    <w:rsid w:val="632C6FC4"/>
    <w:rsid w:val="634B3FF6"/>
    <w:rsid w:val="64460ECC"/>
    <w:rsid w:val="644F5E22"/>
    <w:rsid w:val="64681DB1"/>
    <w:rsid w:val="64902A98"/>
    <w:rsid w:val="64D843A5"/>
    <w:rsid w:val="65285C53"/>
    <w:rsid w:val="652B7ADD"/>
    <w:rsid w:val="657A6DB4"/>
    <w:rsid w:val="659362DC"/>
    <w:rsid w:val="65B57054"/>
    <w:rsid w:val="65BB4C4A"/>
    <w:rsid w:val="663B46C9"/>
    <w:rsid w:val="663F30CF"/>
    <w:rsid w:val="667645CC"/>
    <w:rsid w:val="67311A9C"/>
    <w:rsid w:val="67413BF6"/>
    <w:rsid w:val="6755359A"/>
    <w:rsid w:val="676431FE"/>
    <w:rsid w:val="67A7418D"/>
    <w:rsid w:val="67D27C62"/>
    <w:rsid w:val="67DF6978"/>
    <w:rsid w:val="680B0911"/>
    <w:rsid w:val="68B51D41"/>
    <w:rsid w:val="694E04D2"/>
    <w:rsid w:val="698044A5"/>
    <w:rsid w:val="69EC5C69"/>
    <w:rsid w:val="6A162446"/>
    <w:rsid w:val="6A510F7A"/>
    <w:rsid w:val="6AA67E64"/>
    <w:rsid w:val="6B0D712F"/>
    <w:rsid w:val="6B1A5A18"/>
    <w:rsid w:val="6B28575B"/>
    <w:rsid w:val="6B3A78D7"/>
    <w:rsid w:val="6B50406E"/>
    <w:rsid w:val="6B7E3375"/>
    <w:rsid w:val="6BE4485D"/>
    <w:rsid w:val="6C3B431E"/>
    <w:rsid w:val="6C857DA8"/>
    <w:rsid w:val="6CB5336E"/>
    <w:rsid w:val="6CC1587C"/>
    <w:rsid w:val="6CCE57FC"/>
    <w:rsid w:val="6D167504"/>
    <w:rsid w:val="6D2B74AA"/>
    <w:rsid w:val="6D697BC3"/>
    <w:rsid w:val="6D7111BC"/>
    <w:rsid w:val="6DCA5CB9"/>
    <w:rsid w:val="6DD65377"/>
    <w:rsid w:val="6E280F38"/>
    <w:rsid w:val="6E6D2B48"/>
    <w:rsid w:val="6E8A21F7"/>
    <w:rsid w:val="6EAF0B76"/>
    <w:rsid w:val="6EF901F5"/>
    <w:rsid w:val="6F2867BD"/>
    <w:rsid w:val="6F423F47"/>
    <w:rsid w:val="6F44559B"/>
    <w:rsid w:val="703031CF"/>
    <w:rsid w:val="703A2630"/>
    <w:rsid w:val="709C594C"/>
    <w:rsid w:val="70B240EF"/>
    <w:rsid w:val="71A3023C"/>
    <w:rsid w:val="71D05F49"/>
    <w:rsid w:val="71F97835"/>
    <w:rsid w:val="72A46F04"/>
    <w:rsid w:val="72D66B55"/>
    <w:rsid w:val="73090FE2"/>
    <w:rsid w:val="73265607"/>
    <w:rsid w:val="734C0E93"/>
    <w:rsid w:val="73F82EA2"/>
    <w:rsid w:val="740D6797"/>
    <w:rsid w:val="7435596C"/>
    <w:rsid w:val="74722C9A"/>
    <w:rsid w:val="747E452E"/>
    <w:rsid w:val="74D33131"/>
    <w:rsid w:val="74FA5A4A"/>
    <w:rsid w:val="755F161D"/>
    <w:rsid w:val="756103A4"/>
    <w:rsid w:val="756B79AA"/>
    <w:rsid w:val="75884210"/>
    <w:rsid w:val="75BD4A84"/>
    <w:rsid w:val="75EA7003"/>
    <w:rsid w:val="760D56E2"/>
    <w:rsid w:val="76EE218C"/>
    <w:rsid w:val="772E0B03"/>
    <w:rsid w:val="778A542A"/>
    <w:rsid w:val="77B518A9"/>
    <w:rsid w:val="77C177F8"/>
    <w:rsid w:val="77EF5E51"/>
    <w:rsid w:val="7828402F"/>
    <w:rsid w:val="786E27DF"/>
    <w:rsid w:val="79332F0B"/>
    <w:rsid w:val="79C11BD2"/>
    <w:rsid w:val="79E8078D"/>
    <w:rsid w:val="7A2B2B8A"/>
    <w:rsid w:val="7A2C376D"/>
    <w:rsid w:val="7A3422EE"/>
    <w:rsid w:val="7A4774F3"/>
    <w:rsid w:val="7AA678C6"/>
    <w:rsid w:val="7AB14B83"/>
    <w:rsid w:val="7B113087"/>
    <w:rsid w:val="7B5441DD"/>
    <w:rsid w:val="7B9E2E7D"/>
    <w:rsid w:val="7BEA35A6"/>
    <w:rsid w:val="7C050B07"/>
    <w:rsid w:val="7C9E7A01"/>
    <w:rsid w:val="7D2E186E"/>
    <w:rsid w:val="7D584927"/>
    <w:rsid w:val="7D8F4D8B"/>
    <w:rsid w:val="7DBA4407"/>
    <w:rsid w:val="7DD14D63"/>
    <w:rsid w:val="7E0773D0"/>
    <w:rsid w:val="7E5D66DD"/>
    <w:rsid w:val="7E734104"/>
    <w:rsid w:val="7ED02DB0"/>
    <w:rsid w:val="7EEE5FCC"/>
    <w:rsid w:val="7F2E279D"/>
    <w:rsid w:val="7F2F0CF5"/>
    <w:rsid w:val="7F60044C"/>
    <w:rsid w:val="7F7054DF"/>
    <w:rsid w:val="7F880165"/>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1"/>
    <w:next w:val="5"/>
    <w:qFormat/>
    <w:uiPriority w:val="0"/>
    <w:pPr>
      <w:tabs>
        <w:tab w:val="left" w:pos="432"/>
      </w:tabs>
      <w:spacing w:before="120"/>
      <w:outlineLvl w:val="2"/>
    </w:pPr>
    <w:rPr>
      <w:sz w:val="28"/>
      <w:szCs w:val="28"/>
    </w:rPr>
  </w:style>
  <w:style w:type="paragraph" w:styleId="7">
    <w:name w:val="heading 4"/>
    <w:basedOn w:val="4"/>
    <w:next w:val="1"/>
    <w:qFormat/>
    <w:uiPriority w:val="0"/>
    <w:pPr>
      <w:outlineLvl w:val="3"/>
    </w:pPr>
    <w:rPr>
      <w:sz w:val="24"/>
      <w:szCs w:val="24"/>
    </w:rPr>
  </w:style>
  <w:style w:type="paragraph" w:styleId="8">
    <w:name w:val="heading 5"/>
    <w:basedOn w:val="7"/>
    <w:next w:val="1"/>
    <w:qFormat/>
    <w:uiPriority w:val="0"/>
    <w:pPr>
      <w:outlineLvl w:val="4"/>
    </w:pPr>
    <w:rPr>
      <w:sz w:val="22"/>
      <w:szCs w:val="22"/>
    </w:rPr>
  </w:style>
  <w:style w:type="paragraph" w:styleId="9">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10">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11">
    <w:name w:val="heading 8"/>
    <w:basedOn w:val="10"/>
    <w:next w:val="1"/>
    <w:qFormat/>
    <w:uiPriority w:val="0"/>
    <w:pPr>
      <w:numPr>
        <w:ilvl w:val="7"/>
      </w:numPr>
      <w:tabs>
        <w:tab w:val="clear" w:pos="1296"/>
      </w:tabs>
      <w:outlineLvl w:val="7"/>
    </w:pPr>
  </w:style>
  <w:style w:type="paragraph" w:styleId="12">
    <w:name w:val="heading 9"/>
    <w:basedOn w:val="11"/>
    <w:next w:val="1"/>
    <w:qFormat/>
    <w:uiPriority w:val="0"/>
    <w:pPr>
      <w:numPr>
        <w:ilvl w:val="8"/>
      </w:num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qFormat/>
    <w:uiPriority w:val="0"/>
    <w:pPr>
      <w:spacing w:before="60"/>
      <w:ind w:left="1259" w:hanging="1259"/>
    </w:pPr>
  </w:style>
  <w:style w:type="paragraph" w:customStyle="1" w:styleId="6">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pos="1701"/>
      </w:tabs>
      <w:ind w:left="2268" w:hanging="2268"/>
    </w:pPr>
  </w:style>
  <w:style w:type="paragraph" w:styleId="17">
    <w:name w:val="toc 6"/>
    <w:basedOn w:val="18"/>
    <w:next w:val="1"/>
    <w:semiHidden/>
    <w:qFormat/>
    <w:uiPriority w:val="0"/>
    <w:pPr>
      <w:tabs>
        <w:tab w:val="right" w:pos="1701"/>
      </w:tabs>
      <w:ind w:left="1985" w:hanging="1985"/>
    </w:pPr>
  </w:style>
  <w:style w:type="paragraph" w:styleId="18">
    <w:name w:val="toc 5"/>
    <w:basedOn w:val="19"/>
    <w:next w:val="1"/>
    <w:semiHidden/>
    <w:qFormat/>
    <w:uiPriority w:val="0"/>
    <w:pPr>
      <w:tabs>
        <w:tab w:val="right" w:pos="1701"/>
      </w:tabs>
      <w:ind w:left="1701" w:hanging="1701"/>
    </w:pPr>
  </w:style>
  <w:style w:type="paragraph" w:styleId="19">
    <w:name w:val="toc 4"/>
    <w:basedOn w:val="20"/>
    <w:next w:val="1"/>
    <w:semiHidden/>
    <w:qFormat/>
    <w:uiPriority w:val="0"/>
    <w:pPr>
      <w:tabs>
        <w:tab w:val="left" w:pos="1701"/>
      </w:tabs>
      <w:ind w:left="1418" w:hanging="1418"/>
    </w:pPr>
  </w:style>
  <w:style w:type="paragraph" w:styleId="20">
    <w:name w:val="toc 3"/>
    <w:basedOn w:val="21"/>
    <w:next w:val="1"/>
    <w:semiHidden/>
    <w:qFormat/>
    <w:uiPriority w:val="0"/>
    <w:pPr>
      <w:tabs>
        <w:tab w:val="left" w:pos="1701"/>
      </w:tabs>
      <w:ind w:left="1134" w:hanging="1134"/>
    </w:pPr>
  </w:style>
  <w:style w:type="paragraph" w:styleId="21">
    <w:name w:val="toc 2"/>
    <w:basedOn w:val="22"/>
    <w:next w:val="1"/>
    <w:semiHidden/>
    <w:qFormat/>
    <w:uiPriority w:val="0"/>
    <w:pPr>
      <w:tabs>
        <w:tab w:val="left" w:pos="1701"/>
      </w:tabs>
      <w:spacing w:before="0"/>
      <w:ind w:left="851" w:hanging="851"/>
    </w:pPr>
    <w:rPr>
      <w:szCs w:val="20"/>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numPr>
        <w:numId w:val="2"/>
      </w:numPr>
      <w:tabs>
        <w:tab w:val="left" w:pos="510"/>
        <w:tab w:val="left" w:pos="794"/>
        <w:tab w:val="left" w:pos="1077"/>
        <w:tab w:val="left" w:pos="1361"/>
      </w:tabs>
    </w:pPr>
  </w:style>
  <w:style w:type="paragraph" w:styleId="26">
    <w:name w:val="List Bullet 3"/>
    <w:basedOn w:val="27"/>
    <w:qFormat/>
    <w:uiPriority w:val="0"/>
    <w:pPr>
      <w:numPr>
        <w:numId w:val="3"/>
      </w:numPr>
      <w:tabs>
        <w:tab w:val="left" w:pos="510"/>
        <w:tab w:val="left" w:pos="794"/>
        <w:tab w:val="left" w:pos="1077"/>
      </w:tabs>
    </w:pPr>
  </w:style>
  <w:style w:type="paragraph" w:styleId="27">
    <w:name w:val="List Bullet 2"/>
    <w:basedOn w:val="28"/>
    <w:qFormat/>
    <w:uiPriority w:val="0"/>
    <w:pPr>
      <w:numPr>
        <w:ilvl w:val="0"/>
        <w:numId w:val="4"/>
      </w:numPr>
      <w:tabs>
        <w:tab w:val="left" w:pos="510"/>
      </w:tabs>
    </w:pPr>
  </w:style>
  <w:style w:type="paragraph" w:styleId="28">
    <w:name w:val="List Bullet"/>
    <w:basedOn w:val="29"/>
    <w:qFormat/>
    <w:uiPriority w:val="0"/>
    <w:pPr>
      <w:numPr>
        <w:ilvl w:val="0"/>
        <w:numId w:val="5"/>
      </w:numPr>
    </w:pPr>
  </w:style>
  <w:style w:type="paragraph" w:styleId="29">
    <w:name w:val="Body Text"/>
    <w:basedOn w:val="1"/>
    <w:link w:val="91"/>
    <w:qFormat/>
    <w:uiPriority w:val="0"/>
    <w:rPr>
      <w:rFonts w:eastAsia="Malgun Gothic"/>
    </w:rPr>
  </w:style>
  <w:style w:type="paragraph" w:styleId="30">
    <w:name w:val="caption"/>
    <w:basedOn w:val="1"/>
    <w:next w:val="1"/>
    <w:qFormat/>
    <w:uiPriority w:val="0"/>
    <w:pPr>
      <w:spacing w:after="240"/>
      <w:jc w:val="center"/>
    </w:pPr>
    <w:rPr>
      <w:b/>
      <w:bCs/>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link w:val="113"/>
    <w:semiHidden/>
    <w:qFormat/>
    <w:uiPriority w:val="0"/>
  </w:style>
  <w:style w:type="paragraph" w:styleId="33">
    <w:name w:val="List Bullet 5"/>
    <w:basedOn w:val="25"/>
    <w:qFormat/>
    <w:uiPriority w:val="0"/>
    <w:pPr>
      <w:numPr>
        <w:numId w:val="6"/>
      </w:numPr>
      <w:tabs>
        <w:tab w:val="left" w:pos="1644"/>
        <w:tab w:val="clear" w:pos="1361"/>
      </w:tabs>
    </w:pPr>
  </w:style>
  <w:style w:type="paragraph" w:styleId="34">
    <w:name w:val="toc 8"/>
    <w:basedOn w:val="22"/>
    <w:next w:val="1"/>
    <w:semiHidden/>
    <w:qFormat/>
    <w:uiPriority w:val="0"/>
    <w:pPr>
      <w:spacing w:before="180"/>
      <w:ind w:left="2693" w:hanging="2693"/>
    </w:pPr>
    <w:rPr>
      <w:b w:val="0"/>
      <w:bCs/>
    </w:rPr>
  </w:style>
  <w:style w:type="paragraph" w:styleId="35">
    <w:name w:val="Balloon Text"/>
    <w:basedOn w:val="1"/>
    <w:semiHidden/>
    <w:qFormat/>
    <w:uiPriority w:val="0"/>
    <w:rPr>
      <w:rFonts w:ascii="Tahoma" w:hAnsi="Tahoma" w:cs="Tahoma"/>
      <w:sz w:val="16"/>
      <w:szCs w:val="16"/>
    </w:rPr>
  </w:style>
  <w:style w:type="paragraph" w:styleId="36">
    <w:name w:val="footer"/>
    <w:basedOn w:val="37"/>
    <w:semiHidden/>
    <w:qFormat/>
    <w:uiPriority w:val="0"/>
    <w:pPr>
      <w:jc w:val="center"/>
    </w:pPr>
    <w:rPr>
      <w:i/>
      <w:iCs/>
    </w:rPr>
  </w:style>
  <w:style w:type="paragraph" w:styleId="37">
    <w:name w:val="header"/>
    <w:basedOn w:val="1"/>
    <w:link w:val="99"/>
    <w:qFormat/>
    <w:uiPriority w:val="0"/>
    <w:pPr>
      <w:widowControl w:val="0"/>
    </w:pPr>
    <w:rPr>
      <w:rFonts w:eastAsia="MS Mincho"/>
      <w:b/>
      <w:sz w:val="24"/>
      <w:szCs w:val="24"/>
    </w:rPr>
  </w:style>
  <w:style w:type="paragraph" w:styleId="38">
    <w:name w:val="footnote text"/>
    <w:basedOn w:val="1"/>
    <w:semiHidden/>
    <w:qFormat/>
    <w:uiPriority w:val="0"/>
    <w:pPr>
      <w:keepLines/>
      <w:spacing w:after="0"/>
      <w:ind w:left="454" w:hanging="454"/>
    </w:pPr>
    <w:rPr>
      <w:sz w:val="16"/>
      <w:szCs w:val="16"/>
    </w:rPr>
  </w:style>
  <w:style w:type="paragraph" w:styleId="39">
    <w:name w:val="List 5"/>
    <w:basedOn w:val="40"/>
    <w:qFormat/>
    <w:uiPriority w:val="0"/>
    <w:pPr>
      <w:ind w:left="1702"/>
    </w:pPr>
  </w:style>
  <w:style w:type="paragraph" w:styleId="40">
    <w:name w:val="List 4"/>
    <w:basedOn w:val="13"/>
    <w:qFormat/>
    <w:uiPriority w:val="0"/>
    <w:pPr>
      <w:ind w:left="1418"/>
    </w:pPr>
  </w:style>
  <w:style w:type="paragraph" w:styleId="41">
    <w:name w:val="table of figures"/>
    <w:basedOn w:val="1"/>
    <w:next w:val="1"/>
    <w:qFormat/>
    <w:uiPriority w:val="99"/>
    <w:pPr>
      <w:ind w:left="1418" w:hanging="1418"/>
      <w:jc w:val="left"/>
    </w:pPr>
    <w:rPr>
      <w:b/>
    </w:rPr>
  </w:style>
  <w:style w:type="paragraph" w:styleId="42">
    <w:name w:val="toc 9"/>
    <w:basedOn w:val="34"/>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2"/>
    <w:next w:val="32"/>
    <w:semiHidden/>
    <w:qFormat/>
    <w:uiPriority w:val="0"/>
    <w:rPr>
      <w:b/>
      <w:bCs/>
    </w:rPr>
  </w:style>
  <w:style w:type="table" w:styleId="48">
    <w:name w:val="Table Grid"/>
    <w:basedOn w:val="47"/>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0">
    <w:name w:val="page number"/>
    <w:basedOn w:val="49"/>
    <w:semiHidden/>
    <w:qFormat/>
    <w:uiPriority w:val="0"/>
  </w:style>
  <w:style w:type="character" w:styleId="51">
    <w:name w:val="FollowedHyperlink"/>
    <w:semiHidden/>
    <w:qFormat/>
    <w:uiPriority w:val="0"/>
    <w:rPr>
      <w:color w:val="FF0000"/>
      <w:u w:val="single"/>
    </w:rPr>
  </w:style>
  <w:style w:type="character" w:styleId="52">
    <w:name w:val="Hyperlink"/>
    <w:qFormat/>
    <w:uiPriority w:val="99"/>
    <w:rPr>
      <w:color w:val="0000FF"/>
      <w:u w:val="single"/>
    </w:rPr>
  </w:style>
  <w:style w:type="character" w:styleId="53">
    <w:name w:val="annotation reference"/>
    <w:semiHidden/>
    <w:qFormat/>
    <w:uiPriority w:val="0"/>
    <w:rPr>
      <w:sz w:val="16"/>
      <w:szCs w:val="16"/>
    </w:rPr>
  </w:style>
  <w:style w:type="character" w:styleId="54">
    <w:name w:val="footnote reference"/>
    <w:semiHidden/>
    <w:qFormat/>
    <w:uiPriority w:val="0"/>
    <w:rPr>
      <w:b/>
      <w:bCs/>
      <w:position w:val="6"/>
      <w:sz w:val="16"/>
      <w:szCs w:val="16"/>
    </w:rPr>
  </w:style>
  <w:style w:type="paragraph" w:customStyle="1" w:styleId="55">
    <w:name w:val="Figure"/>
    <w:basedOn w:val="1"/>
    <w:next w:val="30"/>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5"/>
    <w:link w:val="101"/>
    <w:qFormat/>
    <w:uiPriority w:val="0"/>
    <w:pPr>
      <w:spacing w:after="180"/>
      <w:jc w:val="left"/>
    </w:pPr>
    <w:rPr>
      <w:lang w:eastAsia="en-US"/>
    </w:rPr>
  </w:style>
  <w:style w:type="paragraph" w:customStyle="1" w:styleId="61">
    <w:name w:val="B2"/>
    <w:basedOn w:val="14"/>
    <w:qFormat/>
    <w:uiPriority w:val="0"/>
    <w:pPr>
      <w:spacing w:after="180"/>
      <w:jc w:val="left"/>
    </w:pPr>
    <w:rPr>
      <w:lang w:eastAsia="en-US"/>
    </w:rPr>
  </w:style>
  <w:style w:type="paragraph" w:customStyle="1" w:styleId="62">
    <w:name w:val="B3"/>
    <w:basedOn w:val="13"/>
    <w:qFormat/>
    <w:uiPriority w:val="0"/>
    <w:pPr>
      <w:spacing w:after="180"/>
      <w:jc w:val="left"/>
    </w:pPr>
    <w:rPr>
      <w:lang w:eastAsia="en-US"/>
    </w:rPr>
  </w:style>
  <w:style w:type="paragraph" w:customStyle="1" w:styleId="63">
    <w:name w:val="B4"/>
    <w:basedOn w:val="40"/>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9"/>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9"/>
    <w:qFormat/>
    <w:uiPriority w:val="0"/>
    <w:rPr>
      <w:rFonts w:ascii="Arial" w:hAnsi="Arial"/>
      <w:lang w:eastAsia="zh-CN"/>
    </w:rPr>
  </w:style>
  <w:style w:type="character" w:customStyle="1" w:styleId="92">
    <w:name w:val="ZGSM"/>
    <w:qFormat/>
    <w:uiPriority w:val="0"/>
  </w:style>
  <w:style w:type="character" w:customStyle="1" w:styleId="93">
    <w:name w:val="Doc-text2 Char"/>
    <w:link w:val="6"/>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7"/>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6"/>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6"/>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2"/>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2A30F-D21A-453C-A273-41545589DCAB}">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Company>Ericsson</Company>
  <Pages>4</Pages>
  <Words>1139</Words>
  <Characters>6496</Characters>
  <Lines>54</Lines>
  <Paragraphs>15</Paragraphs>
  <TotalTime>1</TotalTime>
  <ScaleCrop>false</ScaleCrop>
  <LinksUpToDate>false</LinksUpToDate>
  <CharactersWithSpaces>7620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2022-08-10T03:08:00Z</dcterms:created>
  <dc:creator>Ericsson</dc:creator>
  <cp:keywords>Ericsson; TDoc; 3GPP</cp:keywords>
  <cp:lastModifiedBy>CMCC</cp:lastModifiedBy>
  <cp:lastPrinted>2021-08-05T02:34:00Z</cp:lastPrinted>
  <dcterms:modified xsi:type="dcterms:W3CDTF">2024-08-09T02:46:54Z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2052-11.8.2.12085</vt:lpwstr>
  </property>
  <property fmtid="{D5CDD505-2E9C-101B-9397-08002B2CF9AE}" pid="17" name="ICV">
    <vt:lpwstr>ED8E7B0DD35449159DBAE9DAAA3E4ADD</vt:lpwstr>
  </property>
</Properties>
</file>